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85D99" w14:textId="05C22441" w:rsidR="00D86ABF" w:rsidRPr="00EB468C" w:rsidRDefault="00D86ABF" w:rsidP="00FA6F9F">
      <w:pPr>
        <w:tabs>
          <w:tab w:val="left" w:pos="120"/>
          <w:tab w:val="left" w:pos="6663"/>
        </w:tabs>
        <w:spacing w:after="120" w:line="276" w:lineRule="auto"/>
        <w:contextualSpacing/>
        <w:jc w:val="both"/>
        <w:rPr>
          <w:sz w:val="24"/>
        </w:rPr>
      </w:pPr>
      <w:r>
        <w:rPr>
          <w:noProof/>
        </w:rPr>
        <w:drawing>
          <wp:anchor distT="0" distB="0" distL="114300" distR="114300" simplePos="0" relativeHeight="251659264" behindDoc="0" locked="0" layoutInCell="1" allowOverlap="1" wp14:anchorId="73CE82E0" wp14:editId="6B6BD7C5">
            <wp:simplePos x="0" y="0"/>
            <wp:positionH relativeFrom="margin">
              <wp:posOffset>-81915</wp:posOffset>
            </wp:positionH>
            <wp:positionV relativeFrom="margin">
              <wp:posOffset>256540</wp:posOffset>
            </wp:positionV>
            <wp:extent cx="1162050" cy="485775"/>
            <wp:effectExtent l="0" t="0" r="0" b="9525"/>
            <wp:wrapSquare wrapText="bothSides"/>
            <wp:docPr id="5" name="Image 3" descr="cid:image001.png@01D33950.0A0BF8C0"/>
            <wp:cNvGraphicFramePr/>
            <a:graphic xmlns:a="http://schemas.openxmlformats.org/drawingml/2006/main">
              <a:graphicData uri="http://schemas.openxmlformats.org/drawingml/2006/picture">
                <pic:pic xmlns:pic="http://schemas.openxmlformats.org/drawingml/2006/picture">
                  <pic:nvPicPr>
                    <pic:cNvPr id="1" name="Image 3" descr="cid:image001.png@01D33950.0A0BF8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2050" cy="485775"/>
                    </a:xfrm>
                    <a:prstGeom prst="rect">
                      <a:avLst/>
                    </a:prstGeom>
                    <a:noFill/>
                    <a:ln>
                      <a:noFill/>
                    </a:ln>
                  </pic:spPr>
                </pic:pic>
              </a:graphicData>
            </a:graphic>
          </wp:anchor>
        </w:drawing>
      </w:r>
      <w:r w:rsidRPr="00EB468C">
        <w:rPr>
          <w:sz w:val="24"/>
        </w:rPr>
        <w:tab/>
      </w:r>
      <w:r w:rsidR="00FA6F9F" w:rsidRPr="00FA6F9F">
        <w:t xml:space="preserve"> </w:t>
      </w:r>
      <w:r w:rsidR="00E9277C" w:rsidRPr="00154F49">
        <w:rPr>
          <w:rFonts w:asciiTheme="minorHAnsi" w:hAnsiTheme="minorHAnsi" w:cstheme="minorHAnsi"/>
          <w:noProof/>
        </w:rPr>
        <w:drawing>
          <wp:inline distT="0" distB="0" distL="0" distR="0" wp14:anchorId="03F57522" wp14:editId="7A9B5092">
            <wp:extent cx="1304925" cy="1333500"/>
            <wp:effectExtent l="0" t="0" r="9525" b="0"/>
            <wp:docPr id="2" name="Image 2" descr="C:\Users\lefebvrev1\Pictures\Logo-Finance-par-l-UE_gallerythumbnai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febvrev1\Pictures\Logo-Finance-par-l-UE_gallerythumbnail (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333500"/>
                    </a:xfrm>
                    <a:prstGeom prst="rect">
                      <a:avLst/>
                    </a:prstGeom>
                    <a:noFill/>
                    <a:ln>
                      <a:noFill/>
                    </a:ln>
                  </pic:spPr>
                </pic:pic>
              </a:graphicData>
            </a:graphic>
          </wp:inline>
        </w:drawing>
      </w:r>
    </w:p>
    <w:p w14:paraId="162B6C29" w14:textId="77777777" w:rsidR="00D86ABF" w:rsidRPr="00EB468C" w:rsidRDefault="00D86ABF" w:rsidP="00D86ABF">
      <w:pPr>
        <w:tabs>
          <w:tab w:val="left" w:pos="120"/>
          <w:tab w:val="left" w:pos="5160"/>
        </w:tabs>
        <w:spacing w:after="120" w:line="276" w:lineRule="auto"/>
        <w:contextualSpacing/>
        <w:jc w:val="both"/>
        <w:rPr>
          <w:sz w:val="24"/>
        </w:rPr>
      </w:pPr>
    </w:p>
    <w:p w14:paraId="1AE10F81" w14:textId="77777777" w:rsidR="00D86ABF" w:rsidRDefault="00D86ABF" w:rsidP="00D86ABF">
      <w:pPr>
        <w:spacing w:after="120" w:line="276" w:lineRule="auto"/>
        <w:contextualSpacing/>
        <w:jc w:val="center"/>
        <w:rPr>
          <w:rStyle w:val="lev"/>
          <w:b w:val="0"/>
          <w:sz w:val="36"/>
          <w:u w:val="single"/>
        </w:rPr>
      </w:pPr>
    </w:p>
    <w:p w14:paraId="471C7A97" w14:textId="77777777" w:rsidR="00D86ABF" w:rsidRPr="00A63E5E" w:rsidRDefault="00D86ABF" w:rsidP="00D86ABF">
      <w:pPr>
        <w:spacing w:after="120" w:line="276" w:lineRule="auto"/>
        <w:contextualSpacing/>
        <w:jc w:val="center"/>
        <w:rPr>
          <w:rStyle w:val="lev"/>
          <w:b w:val="0"/>
          <w:sz w:val="32"/>
          <w:szCs w:val="36"/>
          <w:u w:val="single"/>
        </w:rPr>
      </w:pPr>
      <w:r w:rsidRPr="00A63E5E">
        <w:rPr>
          <w:rStyle w:val="lev"/>
          <w:sz w:val="36"/>
          <w:u w:val="single"/>
        </w:rPr>
        <w:t>Termes de Référence</w:t>
      </w:r>
    </w:p>
    <w:p w14:paraId="2A97CB92" w14:textId="77777777" w:rsidR="00D86ABF" w:rsidRPr="00E57CDE" w:rsidRDefault="00D86ABF" w:rsidP="00D86ABF">
      <w:pPr>
        <w:spacing w:after="120" w:line="276" w:lineRule="auto"/>
        <w:contextualSpacing/>
        <w:jc w:val="center"/>
        <w:rPr>
          <w:rStyle w:val="lev"/>
          <w:szCs w:val="20"/>
        </w:rPr>
      </w:pPr>
    </w:p>
    <w:p w14:paraId="1C697C47" w14:textId="77777777" w:rsidR="00D86ABF" w:rsidRDefault="00D86ABF" w:rsidP="00D86ABF">
      <w:pPr>
        <w:spacing w:after="120" w:line="276" w:lineRule="auto"/>
        <w:contextualSpacing/>
        <w:jc w:val="center"/>
        <w:rPr>
          <w:rStyle w:val="lev"/>
          <w:sz w:val="36"/>
          <w:szCs w:val="20"/>
        </w:rPr>
      </w:pPr>
    </w:p>
    <w:p w14:paraId="15D17A46" w14:textId="2D90357E" w:rsidR="00D86ABF" w:rsidRPr="00016203" w:rsidRDefault="00D86ABF" w:rsidP="00D86ABF">
      <w:pPr>
        <w:spacing w:after="120" w:line="276" w:lineRule="auto"/>
        <w:contextualSpacing/>
        <w:jc w:val="center"/>
        <w:rPr>
          <w:rStyle w:val="lev"/>
          <w:sz w:val="28"/>
        </w:rPr>
      </w:pPr>
      <w:r w:rsidRPr="00016203">
        <w:rPr>
          <w:rStyle w:val="lev"/>
          <w:sz w:val="28"/>
          <w:szCs w:val="20"/>
        </w:rPr>
        <w:t xml:space="preserve">Mobilisation </w:t>
      </w:r>
      <w:proofErr w:type="gramStart"/>
      <w:r w:rsidRPr="00016203">
        <w:rPr>
          <w:rStyle w:val="lev"/>
          <w:sz w:val="28"/>
          <w:szCs w:val="20"/>
        </w:rPr>
        <w:t>d’</w:t>
      </w:r>
      <w:proofErr w:type="spellStart"/>
      <w:r w:rsidRPr="00016203">
        <w:rPr>
          <w:rStyle w:val="lev"/>
          <w:sz w:val="28"/>
          <w:szCs w:val="20"/>
        </w:rPr>
        <w:t>un</w:t>
      </w:r>
      <w:r w:rsidR="00E17BF3">
        <w:rPr>
          <w:rStyle w:val="lev"/>
          <w:sz w:val="28"/>
          <w:szCs w:val="20"/>
        </w:rPr>
        <w:t>.e</w:t>
      </w:r>
      <w:proofErr w:type="spellEnd"/>
      <w:proofErr w:type="gramEnd"/>
      <w:r w:rsidR="00E17BF3">
        <w:rPr>
          <w:rStyle w:val="lev"/>
          <w:sz w:val="28"/>
          <w:szCs w:val="20"/>
        </w:rPr>
        <w:t xml:space="preserve"> </w:t>
      </w:r>
      <w:proofErr w:type="spellStart"/>
      <w:r w:rsidR="00E17BF3">
        <w:rPr>
          <w:rStyle w:val="lev"/>
          <w:sz w:val="28"/>
          <w:szCs w:val="20"/>
        </w:rPr>
        <w:t>consultant.e</w:t>
      </w:r>
      <w:proofErr w:type="spellEnd"/>
      <w:r w:rsidRPr="00016203">
        <w:rPr>
          <w:rStyle w:val="lev"/>
          <w:sz w:val="28"/>
          <w:szCs w:val="20"/>
        </w:rPr>
        <w:t xml:space="preserve"> en charge d’appuyer l’Agence Française de Développement </w:t>
      </w:r>
      <w:r w:rsidR="00C92586" w:rsidRPr="00016203">
        <w:rPr>
          <w:rStyle w:val="lev"/>
          <w:sz w:val="28"/>
          <w:szCs w:val="20"/>
        </w:rPr>
        <w:t>dans le suivi et l’exécution du</w:t>
      </w:r>
      <w:r w:rsidRPr="00016203">
        <w:rPr>
          <w:rStyle w:val="lev"/>
          <w:sz w:val="28"/>
          <w:szCs w:val="20"/>
        </w:rPr>
        <w:t xml:space="preserve"> financement</w:t>
      </w:r>
      <w:r w:rsidR="00C92586" w:rsidRPr="00016203">
        <w:rPr>
          <w:rStyle w:val="lev"/>
          <w:sz w:val="28"/>
          <w:szCs w:val="20"/>
        </w:rPr>
        <w:t xml:space="preserve"> </w:t>
      </w:r>
      <w:r w:rsidR="00011A05" w:rsidRPr="00016203">
        <w:rPr>
          <w:rStyle w:val="lev"/>
          <w:sz w:val="28"/>
          <w:szCs w:val="20"/>
        </w:rPr>
        <w:t xml:space="preserve">délégué </w:t>
      </w:r>
      <w:r w:rsidR="00016203" w:rsidRPr="00016203">
        <w:rPr>
          <w:rStyle w:val="lev"/>
          <w:sz w:val="28"/>
          <w:szCs w:val="20"/>
        </w:rPr>
        <w:t>de l’Union E</w:t>
      </w:r>
      <w:r w:rsidR="00C92586" w:rsidRPr="00016203">
        <w:rPr>
          <w:rStyle w:val="lev"/>
          <w:sz w:val="28"/>
          <w:szCs w:val="20"/>
        </w:rPr>
        <w:t xml:space="preserve">uropéenne </w:t>
      </w:r>
      <w:r w:rsidR="00011A05" w:rsidRPr="00016203">
        <w:rPr>
          <w:rStyle w:val="lev"/>
          <w:sz w:val="28"/>
          <w:szCs w:val="20"/>
        </w:rPr>
        <w:t xml:space="preserve">dans le cadre du programme « Compétences pour </w:t>
      </w:r>
      <w:proofErr w:type="spellStart"/>
      <w:r w:rsidR="00011A05" w:rsidRPr="00016203">
        <w:rPr>
          <w:rStyle w:val="lev"/>
          <w:sz w:val="28"/>
          <w:szCs w:val="20"/>
        </w:rPr>
        <w:t>tou.te.s</w:t>
      </w:r>
      <w:proofErr w:type="spellEnd"/>
      <w:r w:rsidR="00011A05" w:rsidRPr="00016203">
        <w:rPr>
          <w:rStyle w:val="lev"/>
          <w:sz w:val="28"/>
          <w:szCs w:val="20"/>
        </w:rPr>
        <w:t> »</w:t>
      </w:r>
    </w:p>
    <w:p w14:paraId="35716B7C" w14:textId="77777777" w:rsidR="00D86ABF" w:rsidRPr="00A63E5E" w:rsidRDefault="00D86ABF" w:rsidP="00D86ABF">
      <w:pPr>
        <w:spacing w:after="120" w:line="276" w:lineRule="auto"/>
        <w:contextualSpacing/>
        <w:jc w:val="center"/>
        <w:rPr>
          <w:rStyle w:val="lev"/>
          <w:sz w:val="36"/>
        </w:rPr>
      </w:pPr>
    </w:p>
    <w:p w14:paraId="5B354232" w14:textId="77777777" w:rsidR="00D86ABF" w:rsidRPr="00F8303C" w:rsidRDefault="00D86ABF" w:rsidP="00D86ABF">
      <w:pPr>
        <w:pStyle w:val="Titre1"/>
        <w:spacing w:line="240" w:lineRule="auto"/>
        <w:ind w:firstLine="709"/>
        <w:rPr>
          <w:sz w:val="24"/>
          <w:szCs w:val="22"/>
        </w:rPr>
      </w:pPr>
      <w:r w:rsidRPr="00F8303C">
        <w:rPr>
          <w:b/>
          <w:i w:val="0"/>
          <w:sz w:val="24"/>
          <w:u w:val="single"/>
        </w:rPr>
        <w:t>ÉLEMENTS DE CONTEXTE</w:t>
      </w:r>
    </w:p>
    <w:p w14:paraId="25396350" w14:textId="77777777" w:rsidR="00D86ABF" w:rsidRDefault="00D86ABF" w:rsidP="002108BA"/>
    <w:p w14:paraId="7260FB7C" w14:textId="77777777" w:rsidR="00980608" w:rsidRPr="00EB468C" w:rsidRDefault="00980608" w:rsidP="00EB468C">
      <w:pPr>
        <w:pBdr>
          <w:top w:val="nil"/>
          <w:left w:val="nil"/>
          <w:bottom w:val="nil"/>
          <w:right w:val="nil"/>
          <w:between w:val="nil"/>
        </w:pBdr>
        <w:spacing w:line="240" w:lineRule="auto"/>
        <w:ind w:right="-3" w:hanging="2"/>
        <w:jc w:val="both"/>
        <w:rPr>
          <w:b/>
          <w:sz w:val="22"/>
        </w:rPr>
      </w:pPr>
      <w:r w:rsidRPr="00EB468C">
        <w:rPr>
          <w:b/>
          <w:sz w:val="22"/>
        </w:rPr>
        <w:t>Madagascar, à l’aune d’importantes réformes du secteur éducatif…</w:t>
      </w:r>
    </w:p>
    <w:p w14:paraId="0D9CBE8F" w14:textId="6AE024EB" w:rsidR="00980608" w:rsidRDefault="00980608" w:rsidP="00EB468C">
      <w:pPr>
        <w:spacing w:line="240" w:lineRule="auto"/>
        <w:ind w:right="-3" w:hanging="2"/>
        <w:jc w:val="both"/>
        <w:rPr>
          <w:sz w:val="22"/>
          <w:szCs w:val="22"/>
        </w:rPr>
      </w:pPr>
      <w:r w:rsidRPr="00EB468C">
        <w:rPr>
          <w:sz w:val="22"/>
          <w:szCs w:val="22"/>
        </w:rPr>
        <w:tab/>
      </w:r>
      <w:r w:rsidRPr="00F821F2">
        <w:rPr>
          <w:sz w:val="22"/>
          <w:szCs w:val="22"/>
        </w:rPr>
        <w:t xml:space="preserve">A Madagascar, le </w:t>
      </w:r>
      <w:r w:rsidRPr="00EB468C">
        <w:rPr>
          <w:sz w:val="22"/>
          <w:szCs w:val="22"/>
        </w:rPr>
        <w:t xml:space="preserve">système éducatif </w:t>
      </w:r>
      <w:r w:rsidRPr="00F821F2">
        <w:rPr>
          <w:sz w:val="22"/>
          <w:szCs w:val="22"/>
        </w:rPr>
        <w:t>reste caractérisé par</w:t>
      </w:r>
      <w:r w:rsidRPr="00EB468C">
        <w:rPr>
          <w:sz w:val="22"/>
          <w:szCs w:val="22"/>
        </w:rPr>
        <w:t xml:space="preserve"> une pauvreté </w:t>
      </w:r>
      <w:r w:rsidRPr="00F821F2">
        <w:rPr>
          <w:sz w:val="22"/>
          <w:szCs w:val="22"/>
        </w:rPr>
        <w:t>de l’apprentissage (8,4 années de scolarité réduite à 4,7 années lorsqu’ajustées à la qualité de l’apprentissage),</w:t>
      </w:r>
      <w:r w:rsidRPr="00EB468C">
        <w:rPr>
          <w:sz w:val="22"/>
          <w:szCs w:val="22"/>
        </w:rPr>
        <w:t xml:space="preserve"> un faible taux d’achèvement du primaire </w:t>
      </w:r>
      <w:r w:rsidRPr="00F821F2">
        <w:rPr>
          <w:sz w:val="22"/>
          <w:szCs w:val="22"/>
        </w:rPr>
        <w:t>malgré un accès en nette amélioration</w:t>
      </w:r>
      <w:r w:rsidR="001460F2" w:rsidRPr="00F821F2">
        <w:rPr>
          <w:sz w:val="22"/>
          <w:szCs w:val="22"/>
        </w:rPr>
        <w:t>,</w:t>
      </w:r>
      <w:r w:rsidRPr="00EB468C">
        <w:rPr>
          <w:sz w:val="22"/>
          <w:szCs w:val="22"/>
        </w:rPr>
        <w:t xml:space="preserve"> une faible transition vers les cycles secondaires et supérieurs</w:t>
      </w:r>
      <w:r w:rsidRPr="00EB468C">
        <w:rPr>
          <w:sz w:val="22"/>
          <w:szCs w:val="22"/>
          <w:vertAlign w:val="superscript"/>
        </w:rPr>
        <w:footnoteReference w:id="2"/>
      </w:r>
      <w:r w:rsidR="00732396" w:rsidRPr="00EB468C">
        <w:rPr>
          <w:position w:val="-1"/>
          <w:sz w:val="22"/>
          <w:szCs w:val="22"/>
          <w:lang w:eastAsia="en-GB"/>
        </w:rPr>
        <w:t xml:space="preserve"> ainsi que la persistance d’inégalités (socio-économiques, géographiques, de genre, etc.).</w:t>
      </w:r>
      <w:r w:rsidRPr="00EB468C">
        <w:rPr>
          <w:sz w:val="22"/>
          <w:szCs w:val="22"/>
        </w:rPr>
        <w:t xml:space="preserve"> Dans l’enseignement général, ces défaillances découlent notamment d’un défaut de qualité des prestations de services éducatifs (gestion et qualification des enseignants, intrants et infrastructures éducatives) et de nombreuses barrières à l'accès et au maintien à l’éducation (financières, géographiques, culturelles). La formation professionnelle reste </w:t>
      </w:r>
      <w:r w:rsidR="00732396" w:rsidRPr="00EB468C">
        <w:rPr>
          <w:position w:val="-1"/>
          <w:sz w:val="22"/>
          <w:szCs w:val="22"/>
          <w:lang w:eastAsia="en-GB"/>
        </w:rPr>
        <w:t xml:space="preserve">quant à elle </w:t>
      </w:r>
      <w:r w:rsidRPr="00EB468C">
        <w:rPr>
          <w:sz w:val="22"/>
          <w:szCs w:val="22"/>
        </w:rPr>
        <w:t>insuffisante en termes de couverture géographique et est sous</w:t>
      </w:r>
      <w:r w:rsidR="00732396" w:rsidRPr="00EB468C">
        <w:rPr>
          <w:position w:val="-1"/>
          <w:sz w:val="22"/>
          <w:szCs w:val="22"/>
          <w:lang w:eastAsia="en-GB"/>
        </w:rPr>
        <w:t>-</w:t>
      </w:r>
      <w:r w:rsidRPr="00F821F2">
        <w:rPr>
          <w:sz w:val="22"/>
          <w:szCs w:val="22"/>
        </w:rPr>
        <w:t>dotée pour répondre aux défis de l’employabilité des jeunes (notamment</w:t>
      </w:r>
      <w:r w:rsidRPr="00EB468C">
        <w:rPr>
          <w:sz w:val="22"/>
          <w:szCs w:val="22"/>
        </w:rPr>
        <w:t xml:space="preserve"> ceux en dehors du système scolaire</w:t>
      </w:r>
      <w:r w:rsidRPr="00F821F2">
        <w:rPr>
          <w:sz w:val="22"/>
          <w:szCs w:val="22"/>
        </w:rPr>
        <w:t>).</w:t>
      </w:r>
      <w:r w:rsidRPr="00EB468C">
        <w:rPr>
          <w:sz w:val="22"/>
          <w:szCs w:val="22"/>
        </w:rPr>
        <w:t xml:space="preserve"> L’enseignement supérieur reste très limité en termes d’accès (discontinuité avec le secondaire, faible capacité d’accueil), d’équité (éloignement géographique, barrières financières</w:t>
      </w:r>
      <w:r w:rsidRPr="00F821F2">
        <w:rPr>
          <w:sz w:val="22"/>
          <w:szCs w:val="22"/>
        </w:rPr>
        <w:t>),</w:t>
      </w:r>
      <w:r w:rsidRPr="00EB468C">
        <w:rPr>
          <w:sz w:val="22"/>
          <w:szCs w:val="22"/>
        </w:rPr>
        <w:t xml:space="preserve"> et d’efficacité (fort taux de déperdition dans les premières années universitaires, gouvernance financière à améliorer) et doit également relever le défi de l’employabilité. Ces contraintes sont exacerbées par les chocs </w:t>
      </w:r>
      <w:r w:rsidR="00732396" w:rsidRPr="00EB468C">
        <w:rPr>
          <w:position w:val="-1"/>
          <w:sz w:val="22"/>
          <w:szCs w:val="22"/>
          <w:lang w:eastAsia="en-GB"/>
        </w:rPr>
        <w:t xml:space="preserve">endogènes et externes </w:t>
      </w:r>
      <w:r w:rsidRPr="00EB468C">
        <w:rPr>
          <w:sz w:val="22"/>
          <w:szCs w:val="22"/>
        </w:rPr>
        <w:t>auxquels le pays est continuellement exposé (sanitaires, climatiques, crises mondiales…) et qui contribuent à accentuer les inégalités éducatives en défaveur des enfants et des jeunes les plus vulnérables et aux zones les plus reculées.</w:t>
      </w:r>
    </w:p>
    <w:p w14:paraId="468CBF56" w14:textId="77777777" w:rsidR="00773699" w:rsidRPr="00EB468C" w:rsidRDefault="00773699" w:rsidP="00EB468C">
      <w:pPr>
        <w:spacing w:line="240" w:lineRule="auto"/>
        <w:ind w:right="-3" w:hanging="2"/>
        <w:jc w:val="both"/>
        <w:rPr>
          <w:sz w:val="22"/>
          <w:szCs w:val="22"/>
        </w:rPr>
      </w:pPr>
    </w:p>
    <w:p w14:paraId="31A9534E" w14:textId="62D6C878" w:rsidR="00980608" w:rsidRPr="00EB468C" w:rsidRDefault="00980608" w:rsidP="00EB468C">
      <w:pPr>
        <w:spacing w:line="240" w:lineRule="auto"/>
        <w:ind w:right="-3" w:hanging="2"/>
        <w:jc w:val="both"/>
        <w:rPr>
          <w:sz w:val="22"/>
          <w:szCs w:val="22"/>
        </w:rPr>
      </w:pPr>
      <w:r w:rsidRPr="00EB468C">
        <w:rPr>
          <w:sz w:val="22"/>
          <w:szCs w:val="22"/>
        </w:rPr>
        <w:t xml:space="preserve">Une nouvelle Loi d’orientation du système éducatif malgache (LOSEM) a été promulguée en décembre 2022. </w:t>
      </w:r>
      <w:r w:rsidRPr="00EB468C">
        <w:rPr>
          <w:color w:val="0D0D0D"/>
          <w:sz w:val="22"/>
          <w:szCs w:val="22"/>
        </w:rPr>
        <w:t xml:space="preserve">Cette nouvelle est fondée notamment sur le principe d’un système éducatif inclusif promoteur de l’éducation des filles. </w:t>
      </w:r>
      <w:r w:rsidRPr="00EB468C">
        <w:rPr>
          <w:sz w:val="22"/>
          <w:szCs w:val="22"/>
        </w:rPr>
        <w:t xml:space="preserve">Elle réaffirme les principes de gratuité de l’enseignement primaire, instaure un enseignement public obligatoire de 10 ans (dont une année de préscolaire) et établit un enseignement général en quatre cycles de trois ans. Elle assigne par ailleurs une mission importante à l’enseignement technique, la formation professionnelle et l’enseignement supérieur afin d'accroître l’employabilité des jeunes face aux défis du développement du pays. </w:t>
      </w:r>
      <w:r w:rsidR="00732396" w:rsidRPr="00EB468C">
        <w:rPr>
          <w:position w:val="-1"/>
          <w:sz w:val="22"/>
          <w:szCs w:val="22"/>
          <w:lang w:eastAsia="en-GB"/>
        </w:rPr>
        <w:t xml:space="preserve">La LOSEM confirme la vision et pose le cadre juridique pour le système éducatif, et devrait être complétée dans les années à venir par une stratégie sectorielle, qui traduira </w:t>
      </w:r>
      <w:r w:rsidRPr="00EB468C">
        <w:rPr>
          <w:sz w:val="22"/>
          <w:szCs w:val="22"/>
        </w:rPr>
        <w:t xml:space="preserve">cette </w:t>
      </w:r>
      <w:r w:rsidR="00732396" w:rsidRPr="00EB468C">
        <w:rPr>
          <w:position w:val="-1"/>
          <w:sz w:val="22"/>
          <w:szCs w:val="22"/>
          <w:lang w:eastAsia="en-GB"/>
        </w:rPr>
        <w:t>vision en objectifs et trajectoires concrets et mesurables</w:t>
      </w:r>
      <w:r w:rsidRPr="00EB468C">
        <w:rPr>
          <w:sz w:val="22"/>
          <w:szCs w:val="22"/>
        </w:rPr>
        <w:t xml:space="preserve">. </w:t>
      </w:r>
    </w:p>
    <w:p w14:paraId="47EDAB55" w14:textId="64D589B8" w:rsidR="00980608" w:rsidRPr="00EB468C" w:rsidRDefault="00980608" w:rsidP="00EB468C">
      <w:pPr>
        <w:spacing w:line="240" w:lineRule="auto"/>
        <w:ind w:right="-3" w:hanging="2"/>
        <w:jc w:val="both"/>
        <w:rPr>
          <w:sz w:val="22"/>
          <w:szCs w:val="22"/>
        </w:rPr>
      </w:pPr>
      <w:r w:rsidRPr="00EB468C">
        <w:rPr>
          <w:sz w:val="22"/>
          <w:szCs w:val="22"/>
        </w:rPr>
        <w:lastRenderedPageBreak/>
        <w:t xml:space="preserve"> </w:t>
      </w:r>
    </w:p>
    <w:p w14:paraId="03D2A71C" w14:textId="77777777" w:rsidR="00980608" w:rsidRPr="00EB468C" w:rsidRDefault="00980608" w:rsidP="00EB468C">
      <w:pPr>
        <w:spacing w:line="240" w:lineRule="auto"/>
        <w:ind w:hanging="2"/>
        <w:jc w:val="both"/>
        <w:rPr>
          <w:sz w:val="22"/>
        </w:rPr>
      </w:pPr>
      <w:r w:rsidRPr="00EB468C">
        <w:rPr>
          <w:b/>
          <w:sz w:val="22"/>
        </w:rPr>
        <w:t>en faveur de l’égalité de genre et de l'inclusion</w:t>
      </w:r>
      <w:r w:rsidRPr="00EB468C">
        <w:rPr>
          <w:b/>
          <w:sz w:val="22"/>
          <w:szCs w:val="22"/>
        </w:rPr>
        <w:t>...</w:t>
      </w:r>
      <w:r w:rsidRPr="00EB468C">
        <w:rPr>
          <w:sz w:val="22"/>
          <w:szCs w:val="22"/>
        </w:rPr>
        <w:t xml:space="preserve"> </w:t>
      </w:r>
    </w:p>
    <w:p w14:paraId="43619EBC" w14:textId="79C137CC" w:rsidR="00980608" w:rsidRPr="00EB468C" w:rsidRDefault="00732396" w:rsidP="00E76C8C">
      <w:pPr>
        <w:spacing w:line="240" w:lineRule="auto"/>
        <w:ind w:hanging="2"/>
        <w:jc w:val="both"/>
        <w:rPr>
          <w:sz w:val="22"/>
          <w:szCs w:val="22"/>
        </w:rPr>
      </w:pPr>
      <w:r w:rsidRPr="00EB468C">
        <w:rPr>
          <w:position w:val="-1"/>
          <w:sz w:val="22"/>
          <w:szCs w:val="22"/>
          <w:lang w:eastAsia="en-GB"/>
        </w:rPr>
        <w:t xml:space="preserve">La LOSEM pose l’équité et l’inclusion comme principes fondamentaux : « le </w:t>
      </w:r>
      <w:r w:rsidR="00980608" w:rsidRPr="00EB468C">
        <w:rPr>
          <w:sz w:val="22"/>
          <w:szCs w:val="22"/>
        </w:rPr>
        <w:t>développement de l’offre d’enseignement général sera étroitement associé à une politique d’inclusion plus forte des groupes ou populations vulnérables et plus particulièrement les enfants à besoins éducatifs spéciaux ». La LOSEM contient également un nombre important d’articles consacrant les engagements de l’Etat malgache en faveur du genre et de l’inclusion, notamment :</w:t>
      </w:r>
    </w:p>
    <w:p w14:paraId="131369AB" w14:textId="77777777" w:rsidR="00980608" w:rsidRPr="002108BA" w:rsidRDefault="00980608" w:rsidP="00986AEE">
      <w:pPr>
        <w:pStyle w:val="Paragraphedeliste"/>
        <w:numPr>
          <w:ilvl w:val="0"/>
          <w:numId w:val="55"/>
        </w:numPr>
        <w:jc w:val="both"/>
        <w:rPr>
          <w:rFonts w:ascii="Times New Roman" w:hAnsi="Times New Roman"/>
        </w:rPr>
      </w:pPr>
      <w:r w:rsidRPr="002108BA">
        <w:rPr>
          <w:rFonts w:ascii="Times New Roman" w:hAnsi="Times New Roman"/>
        </w:rPr>
        <w:t>Article 10 : l'Etat s'engage à promouvoir l'inclusivité du système éducatif. </w:t>
      </w:r>
    </w:p>
    <w:p w14:paraId="6AC970A7" w14:textId="77777777" w:rsidR="00980608" w:rsidRPr="002108BA" w:rsidRDefault="00980608" w:rsidP="00986AEE">
      <w:pPr>
        <w:pStyle w:val="Paragraphedeliste"/>
        <w:numPr>
          <w:ilvl w:val="0"/>
          <w:numId w:val="55"/>
        </w:numPr>
        <w:jc w:val="both"/>
        <w:rPr>
          <w:rFonts w:ascii="Times New Roman" w:hAnsi="Times New Roman"/>
        </w:rPr>
      </w:pPr>
      <w:r w:rsidRPr="002108BA">
        <w:rPr>
          <w:rFonts w:ascii="Times New Roman" w:hAnsi="Times New Roman"/>
        </w:rPr>
        <w:t>Article 12 : l’État s’engage à promouvoir l’éducation des filles, l’alphabétisation féminine par la suppression des barrières socio-économiques et culturelles, et autres obstacles entravant l’épanouissement des filles et des femmes dans le processus d’apprentissage.</w:t>
      </w:r>
    </w:p>
    <w:p w14:paraId="4CF3A4F6" w14:textId="77777777" w:rsidR="00980608" w:rsidRPr="002108BA" w:rsidRDefault="00980608" w:rsidP="00986AEE">
      <w:pPr>
        <w:pStyle w:val="Paragraphedeliste"/>
        <w:numPr>
          <w:ilvl w:val="0"/>
          <w:numId w:val="55"/>
        </w:numPr>
        <w:jc w:val="both"/>
        <w:rPr>
          <w:rFonts w:ascii="Times New Roman" w:hAnsi="Times New Roman"/>
        </w:rPr>
      </w:pPr>
      <w:r w:rsidRPr="002108BA">
        <w:rPr>
          <w:rFonts w:ascii="Times New Roman" w:hAnsi="Times New Roman"/>
        </w:rPr>
        <w:t>Article 95 : l’éducation et les formations spécialisées au profit des personnes en situation de handicap concernent les personnes présentant des déficiences intellectuelles, physiques et sensorielles lourdes qui ne peuvent être accueillies que dans les établissements spécialisés.</w:t>
      </w:r>
    </w:p>
    <w:p w14:paraId="3A0C5998" w14:textId="77777777" w:rsidR="00980608" w:rsidRPr="002108BA" w:rsidRDefault="00980608" w:rsidP="00986AEE">
      <w:pPr>
        <w:pStyle w:val="Paragraphedeliste"/>
        <w:numPr>
          <w:ilvl w:val="0"/>
          <w:numId w:val="55"/>
        </w:numPr>
        <w:jc w:val="both"/>
        <w:rPr>
          <w:rFonts w:ascii="Times New Roman" w:hAnsi="Times New Roman"/>
        </w:rPr>
      </w:pPr>
      <w:r w:rsidRPr="002108BA">
        <w:rPr>
          <w:rFonts w:ascii="Times New Roman" w:hAnsi="Times New Roman"/>
        </w:rPr>
        <w:t>Article 96 : l’éducation et la formation des personnes en situation de handicap visent leur autonomisation pour les aléas de la vie active, ainsi qu’un apprentissage pour améliorer les compétences scolaires et professionnelles. Elles favorisent la réinsertion de cette catégorie de personnes dans l’éducation formelle et la formation professionnelle dont les modalités sont prévues par voie réglementaire.</w:t>
      </w:r>
    </w:p>
    <w:p w14:paraId="118E8D51" w14:textId="77777777" w:rsidR="00C203F9" w:rsidRDefault="00C203F9" w:rsidP="00C92586">
      <w:pPr>
        <w:pStyle w:val="Liste4"/>
        <w:spacing w:after="0"/>
        <w:ind w:left="0"/>
        <w:rPr>
          <w:bCs/>
          <w:i w:val="0"/>
        </w:rPr>
      </w:pPr>
    </w:p>
    <w:p w14:paraId="06D5E919" w14:textId="286FE4B7" w:rsidR="00980608" w:rsidRPr="00EB468C" w:rsidRDefault="00C203F9" w:rsidP="00EB468C">
      <w:pPr>
        <w:ind w:right="-3" w:hanging="2"/>
        <w:jc w:val="both"/>
        <w:rPr>
          <w:b/>
          <w:i/>
          <w:sz w:val="22"/>
        </w:rPr>
      </w:pPr>
      <w:r w:rsidRPr="00000817">
        <w:rPr>
          <w:b/>
          <w:sz w:val="24"/>
          <w:szCs w:val="22"/>
        </w:rPr>
        <w:t>Présentation du</w:t>
      </w:r>
      <w:r w:rsidR="007E5E39">
        <w:rPr>
          <w:b/>
          <w:i/>
          <w:sz w:val="22"/>
          <w:szCs w:val="22"/>
        </w:rPr>
        <w:t xml:space="preserve"> </w:t>
      </w:r>
      <w:r w:rsidR="00980608" w:rsidRPr="00EB468C">
        <w:rPr>
          <w:b/>
          <w:sz w:val="22"/>
        </w:rPr>
        <w:t xml:space="preserve">Fonds Commun de </w:t>
      </w:r>
      <w:r w:rsidRPr="00EB468C">
        <w:rPr>
          <w:b/>
          <w:sz w:val="24"/>
          <w:szCs w:val="22"/>
        </w:rPr>
        <w:t>l’Education</w:t>
      </w:r>
    </w:p>
    <w:p w14:paraId="0B4DDC26" w14:textId="42D7B79C" w:rsidR="00A84A38" w:rsidRPr="00EB468C" w:rsidRDefault="00980608" w:rsidP="00EB468C">
      <w:pPr>
        <w:ind w:right="-3" w:hanging="2"/>
        <w:jc w:val="both"/>
        <w:rPr>
          <w:sz w:val="22"/>
          <w:szCs w:val="22"/>
        </w:rPr>
      </w:pPr>
      <w:r w:rsidRPr="00EB468C">
        <w:rPr>
          <w:sz w:val="22"/>
          <w:szCs w:val="22"/>
        </w:rPr>
        <w:t xml:space="preserve">Le FCE a été créé en 2019 à la demande des autorités, pour soutenir la </w:t>
      </w:r>
      <w:r w:rsidR="00732396" w:rsidRPr="00EB468C">
        <w:rPr>
          <w:sz w:val="22"/>
          <w:szCs w:val="22"/>
        </w:rPr>
        <w:t>réalisation des objectifs de la politique sectorielle (PSE 2018-2022). En tant que réponse concrète visant à renforcer</w:t>
      </w:r>
      <w:r w:rsidRPr="00EB468C">
        <w:rPr>
          <w:sz w:val="22"/>
          <w:szCs w:val="22"/>
        </w:rPr>
        <w:t xml:space="preserve"> la coordination et </w:t>
      </w:r>
      <w:r w:rsidR="00732396" w:rsidRPr="00EB468C">
        <w:rPr>
          <w:sz w:val="22"/>
          <w:szCs w:val="22"/>
        </w:rPr>
        <w:t xml:space="preserve">améliorer </w:t>
      </w:r>
      <w:r w:rsidRPr="00EB468C">
        <w:rPr>
          <w:sz w:val="22"/>
          <w:szCs w:val="22"/>
        </w:rPr>
        <w:t xml:space="preserve">l’efficacité de l’aide, cet instrument financier prend la forme d’une aide budgétisée alignée mais non fongible </w:t>
      </w:r>
      <w:r w:rsidR="00732396" w:rsidRPr="00EB468C">
        <w:rPr>
          <w:sz w:val="22"/>
          <w:szCs w:val="22"/>
        </w:rPr>
        <w:t xml:space="preserve">ave les ressources de l’Etat </w:t>
      </w:r>
      <w:r w:rsidRPr="00EB468C">
        <w:rPr>
          <w:sz w:val="22"/>
          <w:szCs w:val="22"/>
        </w:rPr>
        <w:t xml:space="preserve">et traçable. </w:t>
      </w:r>
      <w:r w:rsidR="00732396" w:rsidRPr="00EB468C">
        <w:rPr>
          <w:sz w:val="22"/>
          <w:szCs w:val="22"/>
        </w:rPr>
        <w:t>Cet outil financier</w:t>
      </w:r>
      <w:r w:rsidRPr="00EB468C">
        <w:rPr>
          <w:b/>
          <w:sz w:val="22"/>
          <w:szCs w:val="22"/>
        </w:rPr>
        <w:t xml:space="preserve"> </w:t>
      </w:r>
      <w:r w:rsidRPr="00EB468C">
        <w:rPr>
          <w:sz w:val="22"/>
          <w:szCs w:val="22"/>
        </w:rPr>
        <w:t>utilise les structures et procédures nationales pour exécuter les financements extérieurs et permet de financer sur les ressources externes l’ensemble des structures éducatives du pays.</w:t>
      </w:r>
    </w:p>
    <w:p w14:paraId="575C257E" w14:textId="75D8E19E" w:rsidR="00980608" w:rsidRPr="00EB468C" w:rsidRDefault="00980608" w:rsidP="00EB468C">
      <w:pPr>
        <w:spacing w:before="120"/>
        <w:ind w:right="-3" w:hanging="2"/>
        <w:jc w:val="both"/>
        <w:rPr>
          <w:sz w:val="22"/>
          <w:szCs w:val="22"/>
        </w:rPr>
      </w:pPr>
    </w:p>
    <w:p w14:paraId="034FC69D" w14:textId="77B30234" w:rsidR="00A84A38" w:rsidRDefault="00980608" w:rsidP="007E5E39">
      <w:pPr>
        <w:spacing w:line="240" w:lineRule="auto"/>
        <w:jc w:val="both"/>
        <w:rPr>
          <w:sz w:val="22"/>
          <w:szCs w:val="22"/>
        </w:rPr>
      </w:pPr>
      <w:r w:rsidRPr="00EB468C">
        <w:rPr>
          <w:sz w:val="22"/>
          <w:szCs w:val="22"/>
        </w:rPr>
        <w:t xml:space="preserve">Le premier cycle du FCE a démarré avec des contributions de l’AFD et l’UNICEF à hauteur de 16 </w:t>
      </w:r>
      <w:r w:rsidR="00A84A38">
        <w:rPr>
          <w:sz w:val="22"/>
          <w:szCs w:val="22"/>
        </w:rPr>
        <w:t xml:space="preserve">M </w:t>
      </w:r>
      <w:r w:rsidRPr="00EB468C">
        <w:rPr>
          <w:sz w:val="22"/>
          <w:szCs w:val="22"/>
        </w:rPr>
        <w:t>€. Les premiers engagements ont démarré au dernier trimestre 2022</w:t>
      </w:r>
      <w:r w:rsidR="00732396" w:rsidRPr="00EB468C">
        <w:rPr>
          <w:sz w:val="22"/>
          <w:szCs w:val="22"/>
        </w:rPr>
        <w:t>, après une période d’installation</w:t>
      </w:r>
      <w:r w:rsidR="00A84A38">
        <w:rPr>
          <w:sz w:val="22"/>
          <w:szCs w:val="22"/>
        </w:rPr>
        <w:t xml:space="preserve"> définitive </w:t>
      </w:r>
      <w:r w:rsidR="00732396" w:rsidRPr="00EB468C">
        <w:rPr>
          <w:sz w:val="22"/>
          <w:szCs w:val="22"/>
        </w:rPr>
        <w:t>du mécanisme financier.</w:t>
      </w:r>
      <w:r w:rsidRPr="00EB468C">
        <w:rPr>
          <w:sz w:val="22"/>
          <w:szCs w:val="22"/>
        </w:rPr>
        <w:t xml:space="preserve"> Depuis, le fonds enregistre un niveau d’engagement ascendant et </w:t>
      </w:r>
      <w:r w:rsidR="00A84A38">
        <w:rPr>
          <w:sz w:val="22"/>
          <w:szCs w:val="22"/>
        </w:rPr>
        <w:t xml:space="preserve">tout à fait satisfaisant </w:t>
      </w:r>
      <w:r w:rsidRPr="00EB468C">
        <w:rPr>
          <w:sz w:val="22"/>
          <w:szCs w:val="22"/>
        </w:rPr>
        <w:t>pour une phase de démarrage</w:t>
      </w:r>
      <w:r w:rsidR="00A84A38">
        <w:rPr>
          <w:sz w:val="22"/>
          <w:szCs w:val="22"/>
        </w:rPr>
        <w:t> : 3</w:t>
      </w:r>
      <w:r w:rsidRPr="00EB468C">
        <w:rPr>
          <w:sz w:val="22"/>
          <w:szCs w:val="22"/>
        </w:rPr>
        <w:t>8% en fin 2022 à 45% en fin 2023</w:t>
      </w:r>
      <w:r w:rsidR="00A84A38">
        <w:rPr>
          <w:sz w:val="22"/>
          <w:szCs w:val="22"/>
        </w:rPr>
        <w:t>.</w:t>
      </w:r>
      <w:r w:rsidRPr="00EB468C">
        <w:rPr>
          <w:sz w:val="22"/>
          <w:szCs w:val="22"/>
        </w:rPr>
        <w:t xml:space="preserve"> Par ailleurs, l’instrument a permis d’obtenir des résultats significatifs en termes de gestion des finances publiques</w:t>
      </w:r>
      <w:r w:rsidR="00732396" w:rsidRPr="00EB468C">
        <w:rPr>
          <w:sz w:val="22"/>
          <w:szCs w:val="22"/>
        </w:rPr>
        <w:t xml:space="preserve">, notamment l’instauration d’un </w:t>
      </w:r>
      <w:r w:rsidRPr="00EB468C">
        <w:rPr>
          <w:sz w:val="22"/>
          <w:szCs w:val="22"/>
        </w:rPr>
        <w:t xml:space="preserve">dialogue entre les ministères en charge de l’éducation et le ministère en charge des finances, adoption de procédures financières sécurisées pour les établissements publics autonomes), de planification (planification annuelle budgétisée des activités des ministères jusqu’aux niveaux déconcentrés, logiciel de planification unique pour les trois ministères) et de déconcentration du financement (allocation de 70 à 80% des financements en faveur des structures déconcentrées). </w:t>
      </w:r>
    </w:p>
    <w:p w14:paraId="127946F7" w14:textId="77777777" w:rsidR="00A84A38" w:rsidRDefault="00A84A38" w:rsidP="007E5E39">
      <w:pPr>
        <w:spacing w:line="240" w:lineRule="auto"/>
        <w:jc w:val="both"/>
        <w:rPr>
          <w:sz w:val="22"/>
          <w:szCs w:val="22"/>
        </w:rPr>
      </w:pPr>
    </w:p>
    <w:p w14:paraId="71FEF194" w14:textId="77777777" w:rsidR="00A84A38" w:rsidRDefault="00A84A38" w:rsidP="00EB468C">
      <w:pPr>
        <w:spacing w:line="240" w:lineRule="auto"/>
        <w:jc w:val="both"/>
        <w:textDirection w:val="btLr"/>
        <w:rPr>
          <w:sz w:val="22"/>
          <w:szCs w:val="22"/>
        </w:rPr>
      </w:pPr>
      <w:r w:rsidRPr="002D5B26">
        <w:rPr>
          <w:b/>
          <w:sz w:val="22"/>
          <w:szCs w:val="22"/>
        </w:rPr>
        <w:t>Dans un contexte de raréfaction des ressources, l’enjeu de l’efficacité des dépenses devient primordial.</w:t>
      </w:r>
      <w:r w:rsidRPr="002D5B26">
        <w:rPr>
          <w:sz w:val="22"/>
          <w:szCs w:val="22"/>
        </w:rPr>
        <w:t xml:space="preserve"> Par le recours aux procédures nationales, le FCE représente un important levier d’efficience : usage d’un seul corpus procédural, utilisation des processus et administrations nationales, etc. Conséquemment, </w:t>
      </w:r>
      <w:r>
        <w:rPr>
          <w:sz w:val="22"/>
          <w:szCs w:val="22"/>
        </w:rPr>
        <w:t>il offre</w:t>
      </w:r>
      <w:r w:rsidRPr="002D5B26">
        <w:rPr>
          <w:sz w:val="22"/>
          <w:szCs w:val="22"/>
        </w:rPr>
        <w:t xml:space="preserve"> est une option intéressante pour l’exécution des financements extérieurs en faveur du secteur. </w:t>
      </w:r>
    </w:p>
    <w:p w14:paraId="1261F293" w14:textId="77777777" w:rsidR="00A84A38" w:rsidRDefault="00A84A38" w:rsidP="00EB468C">
      <w:pPr>
        <w:spacing w:line="240" w:lineRule="auto"/>
        <w:jc w:val="both"/>
        <w:textDirection w:val="btLr"/>
        <w:rPr>
          <w:sz w:val="22"/>
          <w:szCs w:val="22"/>
        </w:rPr>
      </w:pPr>
    </w:p>
    <w:p w14:paraId="1EBC5597" w14:textId="1B59C0B6" w:rsidR="004B51C5" w:rsidRDefault="00A84A38" w:rsidP="00EB468C">
      <w:pPr>
        <w:spacing w:line="240" w:lineRule="auto"/>
        <w:jc w:val="both"/>
        <w:textDirection w:val="btLr"/>
        <w:rPr>
          <w:sz w:val="22"/>
          <w:szCs w:val="22"/>
        </w:rPr>
      </w:pPr>
      <w:r>
        <w:rPr>
          <w:sz w:val="22"/>
          <w:szCs w:val="22"/>
        </w:rPr>
        <w:t xml:space="preserve">Un nouveau cycle du financement du FCE démarre en 2025 (2025-2030). Il accueillera </w:t>
      </w:r>
      <w:r w:rsidR="00E76C8C">
        <w:rPr>
          <w:sz w:val="22"/>
          <w:szCs w:val="22"/>
        </w:rPr>
        <w:t>l’Union Européenne</w:t>
      </w:r>
      <w:r>
        <w:rPr>
          <w:sz w:val="22"/>
          <w:szCs w:val="22"/>
        </w:rPr>
        <w:t xml:space="preserve"> parmi les rangs de ses bailleurs. Par une délégation de 8 M € à l’AFD, l</w:t>
      </w:r>
      <w:r w:rsidR="00E76C8C">
        <w:rPr>
          <w:sz w:val="22"/>
          <w:szCs w:val="22"/>
        </w:rPr>
        <w:t>‘UE</w:t>
      </w:r>
      <w:r w:rsidR="00986AEE">
        <w:rPr>
          <w:sz w:val="22"/>
          <w:szCs w:val="22"/>
        </w:rPr>
        <w:t xml:space="preserve"> </w:t>
      </w:r>
      <w:r>
        <w:rPr>
          <w:sz w:val="22"/>
          <w:szCs w:val="22"/>
        </w:rPr>
        <w:t xml:space="preserve">souhaite renforcer en particulier les ressources à la disposition du METFP et la mise en œuvre des actions stratégiques de la formation professionnelle. La délégation a été octroyée en juillet 2024, sa mise en œuvre effectif démarrera à la signature de la Convention chapeau entre le Madagascar et l’UE, suivi par celle de la Convention </w:t>
      </w:r>
      <w:r>
        <w:rPr>
          <w:sz w:val="22"/>
          <w:szCs w:val="22"/>
        </w:rPr>
        <w:lastRenderedPageBreak/>
        <w:t xml:space="preserve">Madagascar - AFD. </w:t>
      </w:r>
      <w:r w:rsidR="004B51C5">
        <w:rPr>
          <w:sz w:val="22"/>
          <w:szCs w:val="22"/>
        </w:rPr>
        <w:t>Par la même occasion, d</w:t>
      </w:r>
      <w:r>
        <w:rPr>
          <w:sz w:val="22"/>
          <w:szCs w:val="22"/>
        </w:rPr>
        <w:t>ans la suite du précédent financement, l’AFD</w:t>
      </w:r>
      <w:r w:rsidR="004B51C5">
        <w:rPr>
          <w:sz w:val="22"/>
          <w:szCs w:val="22"/>
        </w:rPr>
        <w:t xml:space="preserve"> a octroyé un montant de 8 M € pour le nouveau cycle du FCE. </w:t>
      </w:r>
    </w:p>
    <w:p w14:paraId="5C9F8F24" w14:textId="4CB7BE38" w:rsidR="00980608" w:rsidRPr="00EB468C" w:rsidRDefault="00980608" w:rsidP="002108BA">
      <w:bookmarkStart w:id="0" w:name="_heading=h.7qlerwk7wpzx" w:colFirst="0" w:colLast="0"/>
      <w:bookmarkEnd w:id="0"/>
    </w:p>
    <w:p w14:paraId="28A7033D" w14:textId="197F1D8C" w:rsidR="00F821F2" w:rsidRPr="00EB468C" w:rsidRDefault="00F821F2" w:rsidP="00F821F2">
      <w:pPr>
        <w:spacing w:line="240" w:lineRule="auto"/>
        <w:jc w:val="both"/>
        <w:rPr>
          <w:sz w:val="22"/>
        </w:rPr>
      </w:pPr>
      <w:r>
        <w:rPr>
          <w:sz w:val="22"/>
        </w:rPr>
        <w:t xml:space="preserve">Ce financement s’inscrit dans le cadre du Programme d’Action </w:t>
      </w:r>
      <w:r w:rsidRPr="00CE240F">
        <w:rPr>
          <w:sz w:val="22"/>
        </w:rPr>
        <w:t>« Compétences pour tout.es »</w:t>
      </w:r>
      <w:r w:rsidR="00EB468C">
        <w:rPr>
          <w:sz w:val="22"/>
        </w:rPr>
        <w:t>.</w:t>
      </w:r>
      <w:r w:rsidRPr="00EB468C">
        <w:rPr>
          <w:rStyle w:val="Appelnotedebasdep"/>
          <w:sz w:val="22"/>
          <w:vertAlign w:val="superscript"/>
        </w:rPr>
        <w:footnoteReference w:id="3"/>
      </w:r>
      <w:r w:rsidR="00EB468C">
        <w:rPr>
          <w:sz w:val="22"/>
        </w:rPr>
        <w:t xml:space="preserve"> </w:t>
      </w:r>
      <w:r w:rsidRPr="00EB468C">
        <w:rPr>
          <w:sz w:val="22"/>
        </w:rPr>
        <w:t>Cette délégation confirme l’intérêt des bailleurs pour identifier des mécanismes de financements performants et ouvre un dialogue avec la DUE sur les co-financements en modalités alignées dans les secteurs. Au regard du rôle et du positionnement de la DUE, elle aura un statut consultatif et observateur. Elle participera dans les réunions du C</w:t>
      </w:r>
      <w:r w:rsidR="00367E32">
        <w:rPr>
          <w:sz w:val="22"/>
        </w:rPr>
        <w:t xml:space="preserve">omité de Suivi (CdS) </w:t>
      </w:r>
      <w:r w:rsidRPr="00EB468C">
        <w:rPr>
          <w:sz w:val="22"/>
        </w:rPr>
        <w:t>en tant qu’observateur et n’interviendra pas directement dans les processus de gestion des marchés en MOAD.</w:t>
      </w:r>
      <w:r w:rsidRPr="00EB468C">
        <w:rPr>
          <w:rStyle w:val="Appelnotedebasdep"/>
          <w:sz w:val="22"/>
          <w:vertAlign w:val="superscript"/>
        </w:rPr>
        <w:footnoteReference w:id="4"/>
      </w:r>
      <w:r w:rsidRPr="00EB468C">
        <w:rPr>
          <w:sz w:val="22"/>
          <w:vertAlign w:val="superscript"/>
        </w:rPr>
        <w:t xml:space="preserve"> </w:t>
      </w:r>
    </w:p>
    <w:p w14:paraId="0292B516" w14:textId="5139CB2F" w:rsidR="00F821F2" w:rsidRDefault="00F821F2" w:rsidP="002108BA"/>
    <w:p w14:paraId="508FA0A6" w14:textId="1C32EB32" w:rsidR="00980608" w:rsidRPr="00EB468C" w:rsidRDefault="00367E32" w:rsidP="00EB468C">
      <w:pPr>
        <w:ind w:left="-2"/>
        <w:jc w:val="both"/>
        <w:rPr>
          <w:sz w:val="22"/>
        </w:rPr>
      </w:pPr>
      <w:r>
        <w:rPr>
          <w:sz w:val="22"/>
        </w:rPr>
        <w:t>Le double-financement se</w:t>
      </w:r>
      <w:r w:rsidR="00980608" w:rsidRPr="00EB468C">
        <w:rPr>
          <w:sz w:val="22"/>
        </w:rPr>
        <w:t xml:space="preserve"> décline en deux (2) composantes :</w:t>
      </w:r>
    </w:p>
    <w:p w14:paraId="3112EA68" w14:textId="77777777" w:rsidR="00980608" w:rsidRPr="00EB468C" w:rsidRDefault="00980608" w:rsidP="00EB468C">
      <w:pPr>
        <w:ind w:hanging="2"/>
        <w:jc w:val="center"/>
        <w:rPr>
          <w:color w:val="ED7D31"/>
          <w:u w:val="single"/>
        </w:rPr>
      </w:pPr>
    </w:p>
    <w:p w14:paraId="3DB7530D" w14:textId="51A97C47" w:rsidR="00980608" w:rsidRDefault="00980608" w:rsidP="00EB468C">
      <w:pPr>
        <w:ind w:right="139" w:hanging="2"/>
        <w:jc w:val="center"/>
        <w:rPr>
          <w:b/>
          <w:sz w:val="22"/>
          <w:szCs w:val="22"/>
          <w:u w:val="single"/>
        </w:rPr>
      </w:pPr>
      <w:r w:rsidRPr="00EB468C">
        <w:rPr>
          <w:b/>
          <w:sz w:val="22"/>
          <w:szCs w:val="22"/>
          <w:u w:val="single"/>
        </w:rPr>
        <w:t>Composante 1 : Appui à la politique sectorielle éducative via une contribution au FCE</w:t>
      </w:r>
    </w:p>
    <w:p w14:paraId="6E117ED7" w14:textId="77777777" w:rsidR="00773699" w:rsidRPr="00EB468C" w:rsidRDefault="00773699" w:rsidP="00EB468C">
      <w:pPr>
        <w:ind w:right="139" w:hanging="2"/>
        <w:jc w:val="center"/>
        <w:rPr>
          <w:sz w:val="22"/>
          <w:szCs w:val="22"/>
          <w:u w:val="single"/>
        </w:rPr>
      </w:pPr>
    </w:p>
    <w:p w14:paraId="5A276252" w14:textId="75C68343" w:rsidR="00980608" w:rsidRPr="00EB468C" w:rsidRDefault="00980608" w:rsidP="00EB468C">
      <w:pPr>
        <w:ind w:right="139" w:hanging="2"/>
        <w:jc w:val="both"/>
        <w:rPr>
          <w:sz w:val="22"/>
          <w:szCs w:val="22"/>
        </w:rPr>
      </w:pPr>
      <w:r w:rsidRPr="00EB468C">
        <w:rPr>
          <w:sz w:val="22"/>
          <w:szCs w:val="22"/>
        </w:rPr>
        <w:t>Le FCE permet de financer l’ensemble du continuum éducatif en s’appuyant sur les dispositifs institutionnels et de gestion des finances publics nationaux. Les fonds sont gérés conformément aux procédures budgétaires nationales. Toutefois, des comptes dédiés au Trésor</w:t>
      </w:r>
      <w:r w:rsidR="00367E32" w:rsidRPr="00EB468C">
        <w:rPr>
          <w:rStyle w:val="Appelnotedebasdep"/>
          <w:sz w:val="22"/>
          <w:szCs w:val="22"/>
          <w:vertAlign w:val="superscript"/>
        </w:rPr>
        <w:footnoteReference w:id="5"/>
      </w:r>
      <w:r w:rsidR="00367E32">
        <w:rPr>
          <w:sz w:val="22"/>
          <w:szCs w:val="22"/>
        </w:rPr>
        <w:t xml:space="preserve"> </w:t>
      </w:r>
      <w:r w:rsidRPr="00EB468C">
        <w:rPr>
          <w:sz w:val="22"/>
          <w:szCs w:val="22"/>
        </w:rPr>
        <w:t xml:space="preserve">sont utilisés, permettant la traçabilité des fonds extérieurs et empêchant la fongibilité avec les ressources domestiques. Le fonctionnement du FCE est régi principalement par le Protocole de Financement Commun (PFC) signé par l’ensemble des partenaires du FCE (ministères et contributeurs). La gestion opérationnelle et des risques du FCE est défini dans le manuel de procédures dont une version révisée est disponible depuis décembre 2022. </w:t>
      </w:r>
      <w:r w:rsidR="00C715C6" w:rsidRPr="00EB468C">
        <w:rPr>
          <w:sz w:val="22"/>
          <w:szCs w:val="22"/>
        </w:rPr>
        <w:t>Conformément à ses principes clés, les ressources de tous les bailleurs sont fongibles et servent à financer les plans de travail annuels des trois ministères en charge de l'Éducation et de celui du ministère en charge des finances et du budget dans la mise en œuvre de la politique éducative.</w:t>
      </w:r>
    </w:p>
    <w:p w14:paraId="33F3D8FA" w14:textId="77777777" w:rsidR="00980608" w:rsidRPr="00EB468C" w:rsidRDefault="00980608" w:rsidP="00EB468C">
      <w:pPr>
        <w:ind w:hanging="2"/>
        <w:jc w:val="both"/>
        <w:rPr>
          <w:color w:val="ED7D31"/>
          <w:sz w:val="22"/>
          <w:szCs w:val="22"/>
        </w:rPr>
      </w:pPr>
    </w:p>
    <w:p w14:paraId="519711C1" w14:textId="6F7F17A8" w:rsidR="00980608" w:rsidRPr="00EB468C" w:rsidRDefault="00367E32" w:rsidP="00EB468C">
      <w:pPr>
        <w:ind w:hanging="2"/>
        <w:jc w:val="both"/>
        <w:rPr>
          <w:sz w:val="22"/>
          <w:szCs w:val="22"/>
        </w:rPr>
      </w:pPr>
      <w:r>
        <w:rPr>
          <w:sz w:val="22"/>
          <w:szCs w:val="22"/>
        </w:rPr>
        <w:t>C</w:t>
      </w:r>
      <w:r w:rsidR="00C715C6" w:rsidRPr="00EB468C">
        <w:rPr>
          <w:sz w:val="22"/>
          <w:szCs w:val="22"/>
        </w:rPr>
        <w:t>onformément à la demande de l’Union européenne, sa</w:t>
      </w:r>
      <w:r w:rsidR="00980608" w:rsidRPr="00EB468C">
        <w:rPr>
          <w:sz w:val="22"/>
          <w:szCs w:val="22"/>
        </w:rPr>
        <w:t xml:space="preserve"> contribution </w:t>
      </w:r>
      <w:r w:rsidR="00C715C6" w:rsidRPr="00EB468C">
        <w:rPr>
          <w:sz w:val="22"/>
          <w:szCs w:val="22"/>
        </w:rPr>
        <w:t>abondera les budgets du</w:t>
      </w:r>
      <w:r w:rsidR="00980608" w:rsidRPr="00EB468C">
        <w:rPr>
          <w:sz w:val="22"/>
          <w:szCs w:val="22"/>
        </w:rPr>
        <w:t xml:space="preserve"> Ministère de l’Enseignement Technique et de la Formation Professionnelle (METFP</w:t>
      </w:r>
      <w:r w:rsidR="00C715C6" w:rsidRPr="00EB468C">
        <w:rPr>
          <w:sz w:val="22"/>
          <w:szCs w:val="22"/>
        </w:rPr>
        <w:t>). A ce titre, l’AFD</w:t>
      </w:r>
      <w:r w:rsidR="00980608" w:rsidRPr="00EB468C">
        <w:rPr>
          <w:sz w:val="22"/>
          <w:szCs w:val="22"/>
        </w:rPr>
        <w:t xml:space="preserve"> s’assurera que la part cumulée consacrée au budget du METFP sera au moins d’un montant égal à la contribution de l’Union Européenne au FCE à la fin de la période</w:t>
      </w:r>
      <w:r w:rsidR="00C715C6" w:rsidRPr="00EB468C">
        <w:rPr>
          <w:sz w:val="22"/>
          <w:szCs w:val="22"/>
        </w:rPr>
        <w:t xml:space="preserve"> de mise en œuvre</w:t>
      </w:r>
      <w:r w:rsidR="00980608" w:rsidRPr="00EB468C">
        <w:rPr>
          <w:sz w:val="22"/>
          <w:szCs w:val="22"/>
        </w:rPr>
        <w:t>.</w:t>
      </w:r>
    </w:p>
    <w:p w14:paraId="2B90F7E6" w14:textId="77777777" w:rsidR="00980608" w:rsidRPr="00EB468C" w:rsidRDefault="00980608" w:rsidP="00EB468C">
      <w:pPr>
        <w:ind w:hanging="2"/>
        <w:jc w:val="both"/>
        <w:rPr>
          <w:color w:val="ED7D31"/>
          <w:sz w:val="22"/>
          <w:szCs w:val="22"/>
        </w:rPr>
      </w:pPr>
    </w:p>
    <w:p w14:paraId="738303C6" w14:textId="47D6BA92" w:rsidR="00980608" w:rsidRPr="00EB468C" w:rsidRDefault="00C715C6" w:rsidP="00EB468C">
      <w:pPr>
        <w:ind w:hanging="2"/>
        <w:jc w:val="both"/>
        <w:rPr>
          <w:sz w:val="22"/>
          <w:szCs w:val="22"/>
        </w:rPr>
      </w:pPr>
      <w:r w:rsidRPr="00EB468C">
        <w:rPr>
          <w:sz w:val="22"/>
          <w:szCs w:val="22"/>
        </w:rPr>
        <w:t>L’AFD</w:t>
      </w:r>
      <w:r w:rsidR="00980608" w:rsidRPr="00EB468C">
        <w:rPr>
          <w:sz w:val="22"/>
          <w:szCs w:val="22"/>
        </w:rPr>
        <w:t xml:space="preserve"> veillera à porter </w:t>
      </w:r>
      <w:r w:rsidRPr="00EB468C">
        <w:rPr>
          <w:sz w:val="22"/>
          <w:szCs w:val="22"/>
        </w:rPr>
        <w:t xml:space="preserve">les priorités suivantes </w:t>
      </w:r>
      <w:r w:rsidR="00980608" w:rsidRPr="00EB468C">
        <w:rPr>
          <w:sz w:val="22"/>
          <w:szCs w:val="22"/>
        </w:rPr>
        <w:t xml:space="preserve">dans le </w:t>
      </w:r>
      <w:r w:rsidR="00980608" w:rsidRPr="00EB468C">
        <w:rPr>
          <w:b/>
          <w:sz w:val="22"/>
          <w:szCs w:val="22"/>
        </w:rPr>
        <w:t>dialogue politique et stratégique avec le METFP</w:t>
      </w:r>
      <w:r w:rsidR="00980608" w:rsidRPr="00EB468C">
        <w:rPr>
          <w:sz w:val="22"/>
          <w:szCs w:val="22"/>
        </w:rPr>
        <w:t xml:space="preserve"> </w:t>
      </w:r>
      <w:r w:rsidRPr="00EB468C">
        <w:rPr>
          <w:sz w:val="22"/>
          <w:szCs w:val="22"/>
        </w:rPr>
        <w:t>sur l’utilisation des fonds</w:t>
      </w:r>
      <w:r w:rsidR="00980608" w:rsidRPr="00EB468C">
        <w:rPr>
          <w:sz w:val="22"/>
          <w:szCs w:val="22"/>
        </w:rPr>
        <w:t xml:space="preserve"> :</w:t>
      </w:r>
    </w:p>
    <w:p w14:paraId="5E11820F" w14:textId="77777777" w:rsidR="00367E32" w:rsidRPr="00EB468C" w:rsidRDefault="00367E32" w:rsidP="00EB468C">
      <w:pPr>
        <w:ind w:hanging="2"/>
        <w:jc w:val="both"/>
        <w:rPr>
          <w:color w:val="ED7D31"/>
          <w:sz w:val="22"/>
          <w:szCs w:val="22"/>
        </w:rPr>
      </w:pPr>
    </w:p>
    <w:p w14:paraId="769947D2" w14:textId="2F311464" w:rsidR="00980608" w:rsidRPr="002108BA" w:rsidRDefault="00980608" w:rsidP="002108BA">
      <w:pPr>
        <w:pStyle w:val="Paragraphedeliste"/>
        <w:numPr>
          <w:ilvl w:val="0"/>
          <w:numId w:val="52"/>
        </w:numPr>
        <w:spacing w:after="0" w:line="240" w:lineRule="auto"/>
        <w:rPr>
          <w:rFonts w:ascii="Times New Roman" w:hAnsi="Times New Roman"/>
          <w:b/>
        </w:rPr>
      </w:pPr>
      <w:r w:rsidRPr="002108BA">
        <w:rPr>
          <w:rFonts w:ascii="Times New Roman" w:hAnsi="Times New Roman"/>
          <w:b/>
        </w:rPr>
        <w:t xml:space="preserve">Amélioration de l’accès et de la qualité des formations professionnelles selon les exigences des emplois </w:t>
      </w:r>
    </w:p>
    <w:p w14:paraId="5B1A0E7F" w14:textId="77777777" w:rsidR="00367E32" w:rsidRPr="002108BA" w:rsidRDefault="00367E32" w:rsidP="002108BA">
      <w:pPr>
        <w:ind w:hanging="2"/>
        <w:jc w:val="both"/>
        <w:rPr>
          <w:sz w:val="22"/>
          <w:szCs w:val="22"/>
        </w:rPr>
      </w:pPr>
    </w:p>
    <w:p w14:paraId="5373BAC3" w14:textId="36835EEB" w:rsidR="00980608" w:rsidRPr="00EB468C" w:rsidRDefault="00980608" w:rsidP="00E76C8C">
      <w:pPr>
        <w:ind w:left="708"/>
        <w:jc w:val="both"/>
        <w:rPr>
          <w:sz w:val="22"/>
          <w:szCs w:val="22"/>
        </w:rPr>
      </w:pPr>
      <w:r w:rsidRPr="00EB468C">
        <w:rPr>
          <w:sz w:val="22"/>
          <w:szCs w:val="22"/>
        </w:rPr>
        <w:t xml:space="preserve">L’amélioration de l’accès de </w:t>
      </w:r>
      <w:proofErr w:type="spellStart"/>
      <w:r w:rsidRPr="00EB468C">
        <w:rPr>
          <w:sz w:val="22"/>
          <w:szCs w:val="22"/>
        </w:rPr>
        <w:t>tou.</w:t>
      </w:r>
      <w:proofErr w:type="gramStart"/>
      <w:r w:rsidRPr="00EB468C">
        <w:rPr>
          <w:sz w:val="22"/>
          <w:szCs w:val="22"/>
        </w:rPr>
        <w:t>te.s</w:t>
      </w:r>
      <w:proofErr w:type="spellEnd"/>
      <w:proofErr w:type="gramEnd"/>
      <w:r w:rsidRPr="00EB468C">
        <w:rPr>
          <w:sz w:val="22"/>
          <w:szCs w:val="22"/>
        </w:rPr>
        <w:t xml:space="preserve"> à des formations pertinentes et de qualité, selon les opportunités et les exigences des emplois potentiels</w:t>
      </w:r>
      <w:r w:rsidR="00C715C6" w:rsidRPr="00EB468C">
        <w:rPr>
          <w:sz w:val="22"/>
          <w:szCs w:val="22"/>
        </w:rPr>
        <w:t>,</w:t>
      </w:r>
      <w:r w:rsidRPr="00EB468C">
        <w:rPr>
          <w:sz w:val="22"/>
          <w:szCs w:val="22"/>
        </w:rPr>
        <w:t xml:space="preserve"> quel que soit </w:t>
      </w:r>
      <w:r w:rsidR="00C715C6" w:rsidRPr="00EB468C">
        <w:rPr>
          <w:sz w:val="22"/>
          <w:szCs w:val="22"/>
        </w:rPr>
        <w:t>le</w:t>
      </w:r>
      <w:r w:rsidRPr="00EB468C">
        <w:rPr>
          <w:sz w:val="22"/>
          <w:szCs w:val="22"/>
        </w:rPr>
        <w:t xml:space="preserve"> niveau académique ou de qualification, reste prioritaire pour le </w:t>
      </w:r>
      <w:r w:rsidR="00C715C6" w:rsidRPr="00EB468C">
        <w:rPr>
          <w:sz w:val="22"/>
          <w:szCs w:val="22"/>
        </w:rPr>
        <w:t>secteur.</w:t>
      </w:r>
      <w:r w:rsidRPr="00EB468C">
        <w:rPr>
          <w:sz w:val="22"/>
          <w:szCs w:val="22"/>
        </w:rPr>
        <w:t xml:space="preserve"> Les principaux enjeux sont de </w:t>
      </w:r>
      <w:r w:rsidRPr="00EB468C">
        <w:rPr>
          <w:b/>
          <w:sz w:val="22"/>
          <w:szCs w:val="22"/>
        </w:rPr>
        <w:t>permettre aux jeunes, en particulier les jeunes femmes, en dehors du système scolaire, de bénéficier de formations de qualité leur permettant d’acquérir les compétences professionnelles et de vie nécessaires</w:t>
      </w:r>
      <w:r w:rsidRPr="00EB468C">
        <w:rPr>
          <w:sz w:val="22"/>
          <w:szCs w:val="22"/>
        </w:rPr>
        <w:t xml:space="preserve"> pour s’insérer dans le monde du travail et/ou développer des activités génératrices de revenu (AGR). </w:t>
      </w:r>
      <w:r w:rsidR="00C715C6" w:rsidRPr="00EB468C">
        <w:rPr>
          <w:sz w:val="22"/>
          <w:szCs w:val="22"/>
        </w:rPr>
        <w:t xml:space="preserve">Pour accompagner un changement durable, la majorité des crédits (entre 70 et 80%) bénéficieront aux établissements de formation professionnelle et aux services techniques déconcentrés du ministère. </w:t>
      </w:r>
    </w:p>
    <w:p w14:paraId="1A864C18" w14:textId="77777777" w:rsidR="00C715C6" w:rsidRPr="00EB468C" w:rsidRDefault="00C715C6" w:rsidP="00E76C8C">
      <w:pPr>
        <w:ind w:left="708"/>
        <w:jc w:val="both"/>
        <w:rPr>
          <w:sz w:val="22"/>
          <w:szCs w:val="22"/>
        </w:rPr>
      </w:pPr>
      <w:r w:rsidRPr="00EB468C">
        <w:rPr>
          <w:sz w:val="22"/>
          <w:szCs w:val="22"/>
        </w:rPr>
        <w:t>Sur la base d’un dialogue annuel et dans la continuité des financements du FCE en faveur de ce ministère, ces crédits pourront servir à financer :</w:t>
      </w:r>
    </w:p>
    <w:p w14:paraId="49EF4C5D" w14:textId="77777777" w:rsidR="00980608" w:rsidRPr="002108BA" w:rsidRDefault="00980608" w:rsidP="00986AEE">
      <w:pPr>
        <w:pStyle w:val="Paragraphedeliste"/>
        <w:numPr>
          <w:ilvl w:val="0"/>
          <w:numId w:val="57"/>
        </w:numPr>
        <w:jc w:val="both"/>
        <w:rPr>
          <w:rFonts w:ascii="Times New Roman" w:hAnsi="Times New Roman"/>
        </w:rPr>
      </w:pPr>
      <w:r w:rsidRPr="002108BA">
        <w:rPr>
          <w:rFonts w:ascii="Times New Roman" w:hAnsi="Times New Roman"/>
        </w:rPr>
        <w:lastRenderedPageBreak/>
        <w:t>Le renforcement et le déploiement des parcours de formation autour de métiers prioritaires liés à la Formation Professionnelle Qualifiante (FPQ) et l’Apprentissage des Métiers de Base (AMB), la validation des acquis de l’expérience (VAE) ou la rénovation de l’apprentissage traditionnel. Cela comprendra notamment : i) la rénovation des référentiels pour répondre aux besoins des territoires, aux défis de la scolarisation post-fondamentale et aux réductions des stéréotypes de genre, ii) la mise à disposition d’outils didactiques en lien avec ces référentiels rénovés, iii) l’amélioration des conditions d’apprentissage dans les établissements et les organismes rattachés où ils seront mis en œuvre, iv) le perfectionnement professionnel des formateurs en lien avec leur déploiement et v) la dotation des matières d’œuvre nécessaires ;</w:t>
      </w:r>
    </w:p>
    <w:p w14:paraId="7C51694B" w14:textId="40466325" w:rsidR="00980608" w:rsidRPr="002108BA" w:rsidRDefault="00980608" w:rsidP="00986AEE">
      <w:pPr>
        <w:pStyle w:val="Paragraphedeliste"/>
        <w:numPr>
          <w:ilvl w:val="0"/>
          <w:numId w:val="57"/>
        </w:numPr>
        <w:jc w:val="both"/>
        <w:rPr>
          <w:rFonts w:ascii="Times New Roman" w:hAnsi="Times New Roman"/>
        </w:rPr>
      </w:pPr>
      <w:r w:rsidRPr="002108BA">
        <w:rPr>
          <w:rFonts w:ascii="Times New Roman" w:hAnsi="Times New Roman"/>
        </w:rPr>
        <w:t>La structuration des procédures d’assurance-qualité pour accompagner des dispositifs publics/privés</w:t>
      </w:r>
      <w:r w:rsidR="00367E32" w:rsidRPr="002108BA">
        <w:rPr>
          <w:rFonts w:ascii="Times New Roman" w:hAnsi="Times New Roman"/>
        </w:rPr>
        <w:t xml:space="preserve"> </w:t>
      </w:r>
      <w:r w:rsidRPr="002108BA">
        <w:rPr>
          <w:rFonts w:ascii="Times New Roman" w:hAnsi="Times New Roman"/>
        </w:rPr>
        <w:t>de formation pour répondre au référentiel qualité des établissements (RQE), voire du label PNEFP pour les établissements d’excellence ;</w:t>
      </w:r>
    </w:p>
    <w:p w14:paraId="5A415675" w14:textId="77777777" w:rsidR="00980608" w:rsidRPr="002108BA" w:rsidRDefault="00980608" w:rsidP="00986AEE">
      <w:pPr>
        <w:pStyle w:val="Paragraphedeliste"/>
        <w:numPr>
          <w:ilvl w:val="0"/>
          <w:numId w:val="57"/>
        </w:numPr>
        <w:jc w:val="both"/>
        <w:rPr>
          <w:rFonts w:ascii="Times New Roman" w:hAnsi="Times New Roman"/>
        </w:rPr>
      </w:pPr>
      <w:r w:rsidRPr="002108BA">
        <w:rPr>
          <w:rFonts w:ascii="Times New Roman" w:hAnsi="Times New Roman"/>
        </w:rPr>
        <w:t>L’amélioration de l’accès de toutes/tous au système ETFP, notamment des personnes en situation de handicap et de vulnérabilité ;</w:t>
      </w:r>
    </w:p>
    <w:p w14:paraId="179EBC38" w14:textId="67566126" w:rsidR="00980608" w:rsidRPr="002108BA" w:rsidRDefault="00980608" w:rsidP="00986AEE">
      <w:pPr>
        <w:pStyle w:val="Paragraphedeliste"/>
        <w:numPr>
          <w:ilvl w:val="0"/>
          <w:numId w:val="57"/>
        </w:numPr>
        <w:jc w:val="both"/>
        <w:rPr>
          <w:rFonts w:ascii="Times New Roman" w:hAnsi="Times New Roman"/>
        </w:rPr>
      </w:pPr>
      <w:r w:rsidRPr="002108BA">
        <w:rPr>
          <w:rFonts w:ascii="Times New Roman" w:hAnsi="Times New Roman"/>
        </w:rPr>
        <w:t>L’amélioration de la communication interne et externe du METFP afin de promouvoir l’orientatio</w:t>
      </w:r>
      <w:r w:rsidR="00367E32" w:rsidRPr="002108BA">
        <w:rPr>
          <w:rFonts w:ascii="Times New Roman" w:hAnsi="Times New Roman"/>
        </w:rPr>
        <w:t xml:space="preserve">n </w:t>
      </w:r>
      <w:r w:rsidRPr="002108BA">
        <w:rPr>
          <w:rFonts w:ascii="Times New Roman" w:hAnsi="Times New Roman"/>
        </w:rPr>
        <w:t xml:space="preserve">des jeunes vers la formation professionnelle et </w:t>
      </w:r>
      <w:r w:rsidR="00C715C6" w:rsidRPr="002108BA">
        <w:rPr>
          <w:rFonts w:ascii="Times New Roman" w:hAnsi="Times New Roman"/>
        </w:rPr>
        <w:t xml:space="preserve">de </w:t>
      </w:r>
      <w:r w:rsidRPr="002108BA">
        <w:rPr>
          <w:rFonts w:ascii="Times New Roman" w:hAnsi="Times New Roman"/>
        </w:rPr>
        <w:t>valoriser les actions du ministère, notamment l’appui du FCE.</w:t>
      </w:r>
    </w:p>
    <w:p w14:paraId="6A242B33" w14:textId="77777777" w:rsidR="00367E32" w:rsidRPr="002108BA" w:rsidRDefault="00367E32" w:rsidP="00986AEE">
      <w:pPr>
        <w:jc w:val="both"/>
      </w:pPr>
    </w:p>
    <w:p w14:paraId="7A64A592" w14:textId="77777777" w:rsidR="00C715C6" w:rsidRPr="00EB468C" w:rsidRDefault="00C715C6" w:rsidP="00986AEE">
      <w:pPr>
        <w:pStyle w:val="Paragraphedeliste"/>
        <w:numPr>
          <w:ilvl w:val="0"/>
          <w:numId w:val="52"/>
        </w:numPr>
        <w:spacing w:after="0" w:line="240" w:lineRule="auto"/>
        <w:jc w:val="both"/>
        <w:rPr>
          <w:rFonts w:ascii="Times New Roman" w:hAnsi="Times New Roman"/>
          <w:b/>
        </w:rPr>
      </w:pPr>
      <w:r w:rsidRPr="00EB468C">
        <w:rPr>
          <w:rFonts w:ascii="Times New Roman" w:hAnsi="Times New Roman"/>
          <w:b/>
        </w:rPr>
        <w:t>Renforcement institutionnel pour l’intégration d’une approche par les droits – équité et inclusion - au niveau du sous-secteur </w:t>
      </w:r>
    </w:p>
    <w:p w14:paraId="0230BC37" w14:textId="77777777" w:rsidR="00C715C6" w:rsidRPr="00EB468C" w:rsidRDefault="00C715C6" w:rsidP="00986AEE">
      <w:pPr>
        <w:ind w:hanging="2"/>
        <w:jc w:val="both"/>
        <w:rPr>
          <w:sz w:val="22"/>
          <w:szCs w:val="22"/>
        </w:rPr>
      </w:pPr>
    </w:p>
    <w:p w14:paraId="06C8A993" w14:textId="77D9DF6B" w:rsidR="00980608" w:rsidRPr="00EB468C" w:rsidRDefault="00C715C6" w:rsidP="00E76C8C">
      <w:pPr>
        <w:pBdr>
          <w:top w:val="nil"/>
          <w:left w:val="nil"/>
          <w:bottom w:val="nil"/>
          <w:right w:val="nil"/>
          <w:between w:val="nil"/>
        </w:pBdr>
        <w:spacing w:line="240" w:lineRule="auto"/>
        <w:ind w:left="708"/>
        <w:jc w:val="both"/>
        <w:rPr>
          <w:sz w:val="22"/>
          <w:szCs w:val="22"/>
        </w:rPr>
      </w:pPr>
      <w:r w:rsidRPr="00EB468C">
        <w:rPr>
          <w:sz w:val="22"/>
          <w:szCs w:val="22"/>
        </w:rPr>
        <w:t>Le dialogue politique et stratégique avec le METFP portera sur les capacités du ministère à apporter une réponse systémique aux enjeux de genre et d’inclusion. A ce titre, les processus suivants pourront être considérés dans le dialogue :</w:t>
      </w:r>
    </w:p>
    <w:p w14:paraId="08EF3E75" w14:textId="77777777" w:rsidR="00367E32" w:rsidRPr="002108BA" w:rsidRDefault="00980608" w:rsidP="00986AEE">
      <w:pPr>
        <w:pStyle w:val="Paragraphedeliste"/>
        <w:numPr>
          <w:ilvl w:val="0"/>
          <w:numId w:val="58"/>
        </w:numPr>
        <w:jc w:val="both"/>
        <w:rPr>
          <w:rFonts w:ascii="Times New Roman" w:hAnsi="Times New Roman"/>
        </w:rPr>
      </w:pPr>
      <w:r w:rsidRPr="002108BA">
        <w:rPr>
          <w:rFonts w:ascii="Times New Roman" w:hAnsi="Times New Roman"/>
        </w:rPr>
        <w:t>La planification et la budgétisation sensible au genre</w:t>
      </w:r>
      <w:r w:rsidR="00367E32" w:rsidRPr="002108BA">
        <w:rPr>
          <w:rFonts w:ascii="Times New Roman" w:hAnsi="Times New Roman"/>
        </w:rPr>
        <w:t xml:space="preserve">. </w:t>
      </w:r>
    </w:p>
    <w:p w14:paraId="02B91DB7" w14:textId="77777777" w:rsidR="00C715C6" w:rsidRPr="002108BA" w:rsidRDefault="00C715C6" w:rsidP="00986AEE">
      <w:pPr>
        <w:pStyle w:val="Paragraphedeliste"/>
        <w:numPr>
          <w:ilvl w:val="0"/>
          <w:numId w:val="58"/>
        </w:numPr>
        <w:jc w:val="both"/>
        <w:rPr>
          <w:rFonts w:ascii="Times New Roman" w:hAnsi="Times New Roman"/>
        </w:rPr>
      </w:pPr>
      <w:r w:rsidRPr="002108BA">
        <w:rPr>
          <w:rFonts w:ascii="Times New Roman" w:hAnsi="Times New Roman"/>
        </w:rPr>
        <w:t>La structuration d’une réponse systémique dans la lutte contre les violences et la corruption sexuelle en milieu scolaire, par une intégration des mesures de prévention, sensibilisation, dénonciation, investigation, sanction des contrevenants et orientation des victimes ;</w:t>
      </w:r>
    </w:p>
    <w:p w14:paraId="12B5B40C" w14:textId="77777777" w:rsidR="00C715C6" w:rsidRPr="002108BA" w:rsidRDefault="00C715C6" w:rsidP="00986AEE">
      <w:pPr>
        <w:pStyle w:val="Paragraphedeliste"/>
        <w:numPr>
          <w:ilvl w:val="0"/>
          <w:numId w:val="58"/>
        </w:numPr>
        <w:jc w:val="both"/>
        <w:rPr>
          <w:rFonts w:ascii="Times New Roman" w:hAnsi="Times New Roman"/>
        </w:rPr>
      </w:pPr>
      <w:r w:rsidRPr="002108BA">
        <w:rPr>
          <w:rFonts w:ascii="Times New Roman" w:hAnsi="Times New Roman"/>
        </w:rPr>
        <w:t xml:space="preserve">L’intégration de l’approche fondée sur les droits dans les fonctions pédagogiques (inclusion, équité, égalité des chances…), notamment dans la formation des formateurs, le développement des curricula et leur déploiement, la certification, etc. </w:t>
      </w:r>
    </w:p>
    <w:p w14:paraId="5FC8FD89" w14:textId="77777777" w:rsidR="00C715C6" w:rsidRPr="00EB468C" w:rsidRDefault="00C715C6" w:rsidP="00E76C8C">
      <w:pPr>
        <w:pBdr>
          <w:top w:val="nil"/>
          <w:left w:val="nil"/>
          <w:bottom w:val="nil"/>
          <w:right w:val="nil"/>
          <w:between w:val="nil"/>
        </w:pBdr>
        <w:spacing w:line="240" w:lineRule="auto"/>
        <w:jc w:val="both"/>
        <w:rPr>
          <w:sz w:val="22"/>
          <w:szCs w:val="22"/>
        </w:rPr>
      </w:pPr>
    </w:p>
    <w:p w14:paraId="3CB3650F" w14:textId="301CC169" w:rsidR="00C715C6" w:rsidRPr="00AB4C16" w:rsidRDefault="00C715C6" w:rsidP="00986AEE">
      <w:pPr>
        <w:pStyle w:val="Paragraphedeliste"/>
        <w:numPr>
          <w:ilvl w:val="0"/>
          <w:numId w:val="52"/>
        </w:numPr>
        <w:spacing w:after="0" w:line="240" w:lineRule="auto"/>
        <w:jc w:val="both"/>
        <w:textDirection w:val="btLr"/>
        <w:rPr>
          <w:rFonts w:ascii="Times New Roman" w:hAnsi="Times New Roman"/>
          <w:b/>
        </w:rPr>
      </w:pPr>
      <w:r w:rsidRPr="00EB468C">
        <w:rPr>
          <w:rFonts w:ascii="Times New Roman" w:hAnsi="Times New Roman"/>
          <w:b/>
        </w:rPr>
        <w:t xml:space="preserve">Renforcement des administrations et enjeux transversaux </w:t>
      </w:r>
    </w:p>
    <w:p w14:paraId="4938C6B1" w14:textId="77777777" w:rsidR="00C715C6" w:rsidRPr="00EB468C" w:rsidRDefault="00C715C6" w:rsidP="00986AEE">
      <w:pPr>
        <w:spacing w:line="240" w:lineRule="auto"/>
        <w:ind w:hanging="2"/>
        <w:jc w:val="both"/>
        <w:rPr>
          <w:sz w:val="22"/>
          <w:szCs w:val="22"/>
        </w:rPr>
      </w:pPr>
    </w:p>
    <w:p w14:paraId="3EF4007F" w14:textId="58D30C47" w:rsidR="00980608" w:rsidRPr="00EB468C" w:rsidRDefault="00980608" w:rsidP="00E76C8C">
      <w:pPr>
        <w:spacing w:line="240" w:lineRule="auto"/>
        <w:ind w:hanging="2"/>
        <w:jc w:val="both"/>
        <w:rPr>
          <w:sz w:val="22"/>
          <w:szCs w:val="22"/>
        </w:rPr>
      </w:pPr>
      <w:r w:rsidRPr="00EB468C">
        <w:rPr>
          <w:sz w:val="22"/>
          <w:szCs w:val="22"/>
        </w:rPr>
        <w:t>Le FCE est qualifié d’approche procédurale de renforcement de capacités puisqu’il permet aux différents acteurs budgétaires d’améliorer leurs capacités par la pratique</w:t>
      </w:r>
      <w:r w:rsidR="00C715C6" w:rsidRPr="00EB468C">
        <w:rPr>
          <w:sz w:val="22"/>
          <w:szCs w:val="22"/>
        </w:rPr>
        <w:t>,</w:t>
      </w:r>
      <w:r w:rsidRPr="00EB468C">
        <w:rPr>
          <w:sz w:val="22"/>
          <w:szCs w:val="22"/>
        </w:rPr>
        <w:t xml:space="preserve"> en rappelant/redécouvrant les règles et procédures nationales, en structurant les procédés non-formels, en décloisonnant les acteurs ou en mettant en place les ajustements nécessaires pour améliorer l’exécution </w:t>
      </w:r>
      <w:r w:rsidR="00C715C6" w:rsidRPr="00EB468C">
        <w:rPr>
          <w:sz w:val="22"/>
          <w:szCs w:val="22"/>
        </w:rPr>
        <w:t xml:space="preserve">des dépenses </w:t>
      </w:r>
      <w:r w:rsidRPr="00EB468C">
        <w:rPr>
          <w:sz w:val="22"/>
          <w:szCs w:val="22"/>
        </w:rPr>
        <w:t xml:space="preserve">(parfois transposables à l’utilisation des </w:t>
      </w:r>
      <w:r w:rsidR="00C715C6" w:rsidRPr="00EB468C">
        <w:rPr>
          <w:sz w:val="22"/>
          <w:szCs w:val="22"/>
        </w:rPr>
        <w:t>ressources propres internes). Au titre</w:t>
      </w:r>
      <w:r w:rsidRPr="00EB468C">
        <w:rPr>
          <w:sz w:val="22"/>
          <w:szCs w:val="22"/>
        </w:rPr>
        <w:t xml:space="preserve"> de </w:t>
      </w:r>
      <w:r w:rsidR="00C715C6" w:rsidRPr="00EB468C">
        <w:rPr>
          <w:sz w:val="22"/>
          <w:szCs w:val="22"/>
        </w:rPr>
        <w:t>ces interventions, pourront</w:t>
      </w:r>
      <w:r w:rsidRPr="00EB468C">
        <w:rPr>
          <w:sz w:val="22"/>
          <w:szCs w:val="22"/>
        </w:rPr>
        <w:t xml:space="preserve"> notamment être </w:t>
      </w:r>
      <w:r w:rsidR="00C715C6" w:rsidRPr="00EB468C">
        <w:rPr>
          <w:sz w:val="22"/>
          <w:szCs w:val="22"/>
        </w:rPr>
        <w:t>considérés</w:t>
      </w:r>
      <w:r w:rsidRPr="00EB468C">
        <w:rPr>
          <w:sz w:val="22"/>
          <w:szCs w:val="22"/>
        </w:rPr>
        <w:t xml:space="preserve"> dans le dialogue</w:t>
      </w:r>
      <w:r w:rsidR="00C715C6" w:rsidRPr="00EB468C">
        <w:rPr>
          <w:sz w:val="22"/>
          <w:szCs w:val="22"/>
        </w:rPr>
        <w:t xml:space="preserve"> : </w:t>
      </w:r>
    </w:p>
    <w:p w14:paraId="4475F1D6" w14:textId="788AD1F2" w:rsidR="00980608" w:rsidRPr="002108BA" w:rsidRDefault="00980608" w:rsidP="00986AEE">
      <w:pPr>
        <w:pStyle w:val="Paragraphedeliste"/>
        <w:numPr>
          <w:ilvl w:val="0"/>
          <w:numId w:val="59"/>
        </w:numPr>
        <w:jc w:val="both"/>
        <w:rPr>
          <w:rFonts w:ascii="Times New Roman" w:hAnsi="Times New Roman"/>
        </w:rPr>
      </w:pPr>
      <w:r w:rsidRPr="002108BA">
        <w:rPr>
          <w:rFonts w:ascii="Times New Roman" w:hAnsi="Times New Roman"/>
        </w:rPr>
        <w:t xml:space="preserve">Le renforcement des capacités des personnels administratifs de tous les établissements et les services déconcentrés de l’ETFP en (i) gestion financière et comptable, (ii) passation des marchés et (iii) planification, suivi et rapportage (iv) classement et archivage des dossiers et des pièces justificatives des dépenses ; </w:t>
      </w:r>
    </w:p>
    <w:p w14:paraId="3CFEFEF5" w14:textId="00A52FC6" w:rsidR="007C63CF" w:rsidRPr="002108BA" w:rsidRDefault="00C715C6" w:rsidP="00986AEE">
      <w:pPr>
        <w:pStyle w:val="Paragraphedeliste"/>
        <w:numPr>
          <w:ilvl w:val="0"/>
          <w:numId w:val="59"/>
        </w:numPr>
        <w:jc w:val="both"/>
        <w:rPr>
          <w:rFonts w:ascii="Times New Roman" w:hAnsi="Times New Roman"/>
        </w:rPr>
      </w:pPr>
      <w:r w:rsidRPr="002108BA">
        <w:rPr>
          <w:rFonts w:ascii="Times New Roman" w:hAnsi="Times New Roman"/>
        </w:rPr>
        <w:t>Le renforcement de la gouvernance des établissements: appui</w:t>
      </w:r>
      <w:r w:rsidR="007C63CF" w:rsidRPr="002108BA">
        <w:rPr>
          <w:rFonts w:ascii="Times New Roman" w:hAnsi="Times New Roman"/>
        </w:rPr>
        <w:t xml:space="preserve"> </w:t>
      </w:r>
      <w:r w:rsidR="00980608" w:rsidRPr="002108BA">
        <w:rPr>
          <w:rFonts w:ascii="Times New Roman" w:hAnsi="Times New Roman"/>
        </w:rPr>
        <w:t xml:space="preserve">à l’autonomisation pédagogique, administrative et financière des établissements afin qu’ils puissent mobiliser des fonds de financement local de formation, développer des activités génératrices de revenus, dynamiser le </w:t>
      </w:r>
      <w:r w:rsidR="00980608" w:rsidRPr="002108BA">
        <w:rPr>
          <w:rFonts w:ascii="Times New Roman" w:hAnsi="Times New Roman"/>
        </w:rPr>
        <w:lastRenderedPageBreak/>
        <w:t>partenariat avec les acteurs socioéconomiques et mettre en œuvre des projets de développement des établissements</w:t>
      </w:r>
      <w:r w:rsidR="007C63CF" w:rsidRPr="002108BA">
        <w:rPr>
          <w:rFonts w:ascii="Times New Roman" w:hAnsi="Times New Roman"/>
        </w:rPr>
        <w:t xml:space="preserve">. </w:t>
      </w:r>
    </w:p>
    <w:p w14:paraId="7066EA79" w14:textId="2E6971F7" w:rsidR="007C63CF" w:rsidRPr="002108BA" w:rsidRDefault="00C715C6" w:rsidP="00986AEE">
      <w:pPr>
        <w:pStyle w:val="Paragraphedeliste"/>
        <w:numPr>
          <w:ilvl w:val="0"/>
          <w:numId w:val="59"/>
        </w:numPr>
        <w:jc w:val="both"/>
        <w:rPr>
          <w:rFonts w:ascii="Times New Roman" w:hAnsi="Times New Roman"/>
        </w:rPr>
      </w:pPr>
      <w:r w:rsidRPr="002108BA">
        <w:rPr>
          <w:rFonts w:ascii="Times New Roman" w:hAnsi="Times New Roman"/>
        </w:rPr>
        <w:t>Le renforcement du pilotage et de la gouvernance du système : amélioration de la qualité et de la quantité des données disponibles pour le secteur, incluant les données désagrégées par sexe, amélioration de la collaboration interministérielle, etc</w:t>
      </w:r>
      <w:r w:rsidR="007C63CF" w:rsidRPr="002108BA">
        <w:rPr>
          <w:rFonts w:ascii="Times New Roman" w:hAnsi="Times New Roman"/>
        </w:rPr>
        <w:t xml:space="preserve">. </w:t>
      </w:r>
    </w:p>
    <w:p w14:paraId="778D4A37" w14:textId="77777777" w:rsidR="00C715C6" w:rsidRPr="002108BA" w:rsidRDefault="00C715C6" w:rsidP="00986AEE">
      <w:pPr>
        <w:pStyle w:val="Paragraphedeliste"/>
        <w:numPr>
          <w:ilvl w:val="0"/>
          <w:numId w:val="59"/>
        </w:numPr>
        <w:jc w:val="both"/>
        <w:rPr>
          <w:rFonts w:ascii="Times New Roman" w:hAnsi="Times New Roman"/>
        </w:rPr>
      </w:pPr>
      <w:r w:rsidRPr="002108BA">
        <w:rPr>
          <w:rFonts w:ascii="Times New Roman" w:hAnsi="Times New Roman"/>
        </w:rPr>
        <w:t>Le développement de ces capacités sera accompagné par le ministère central et ses services déconcentrés qui auront également développé de solides compétences dans l’encadrement fiduciaire du FCE.</w:t>
      </w:r>
    </w:p>
    <w:p w14:paraId="476FE3FE" w14:textId="77777777" w:rsidR="006A23EB" w:rsidRPr="00EB468C" w:rsidRDefault="006A23EB" w:rsidP="00E76C8C">
      <w:pPr>
        <w:spacing w:line="240" w:lineRule="auto"/>
        <w:ind w:hanging="2"/>
        <w:jc w:val="both"/>
        <w:rPr>
          <w:sz w:val="22"/>
          <w:u w:val="single"/>
        </w:rPr>
      </w:pPr>
    </w:p>
    <w:p w14:paraId="7410311D" w14:textId="303BF026" w:rsidR="00980608" w:rsidRDefault="00980608" w:rsidP="00986AEE">
      <w:pPr>
        <w:ind w:right="139" w:hanging="2"/>
        <w:jc w:val="both"/>
        <w:rPr>
          <w:b/>
          <w:sz w:val="22"/>
          <w:u w:val="single"/>
        </w:rPr>
      </w:pPr>
      <w:r w:rsidRPr="00EB468C">
        <w:rPr>
          <w:b/>
          <w:sz w:val="22"/>
          <w:u w:val="single"/>
        </w:rPr>
        <w:t>Composante 2 : Assistance technique, communication et audit</w:t>
      </w:r>
    </w:p>
    <w:p w14:paraId="0678A6F8" w14:textId="77777777" w:rsidR="00773699" w:rsidRPr="00EB468C" w:rsidRDefault="00773699" w:rsidP="00986AEE">
      <w:pPr>
        <w:ind w:right="139" w:hanging="2"/>
        <w:jc w:val="both"/>
        <w:rPr>
          <w:sz w:val="22"/>
          <w:u w:val="single"/>
        </w:rPr>
      </w:pPr>
    </w:p>
    <w:p w14:paraId="7D5C93B6" w14:textId="4660C766" w:rsidR="00C715C6" w:rsidRPr="00EB468C" w:rsidRDefault="00980608" w:rsidP="00E76C8C">
      <w:pPr>
        <w:spacing w:line="240" w:lineRule="auto"/>
        <w:ind w:hanging="2"/>
        <w:jc w:val="both"/>
        <w:rPr>
          <w:sz w:val="22"/>
          <w:szCs w:val="22"/>
        </w:rPr>
      </w:pPr>
      <w:r w:rsidRPr="00EB468C">
        <w:rPr>
          <w:sz w:val="22"/>
          <w:szCs w:val="22"/>
        </w:rPr>
        <w:tab/>
        <w:t xml:space="preserve">Cette composante sera gérée en maîtrise d’ouvrage directe par l’AFD. </w:t>
      </w:r>
      <w:r w:rsidR="00C715C6" w:rsidRPr="00EB468C">
        <w:rPr>
          <w:sz w:val="22"/>
          <w:szCs w:val="22"/>
        </w:rPr>
        <w:t xml:space="preserve">A titre prévisionnel, sont envisagés les appuis et </w:t>
      </w:r>
      <w:r w:rsidRPr="00EB468C">
        <w:rPr>
          <w:sz w:val="22"/>
          <w:szCs w:val="22"/>
        </w:rPr>
        <w:t xml:space="preserve">expertises </w:t>
      </w:r>
      <w:r w:rsidR="00C715C6" w:rsidRPr="00EB468C">
        <w:rPr>
          <w:sz w:val="22"/>
          <w:szCs w:val="22"/>
        </w:rPr>
        <w:t xml:space="preserve">suivants : </w:t>
      </w:r>
    </w:p>
    <w:p w14:paraId="11EED187" w14:textId="77777777" w:rsidR="006A23EB" w:rsidRPr="00AB4C16" w:rsidRDefault="00C715C6" w:rsidP="00986AEE">
      <w:pPr>
        <w:pStyle w:val="Paragraphedeliste"/>
        <w:numPr>
          <w:ilvl w:val="0"/>
          <w:numId w:val="60"/>
        </w:numPr>
        <w:jc w:val="both"/>
        <w:rPr>
          <w:rFonts w:ascii="Times New Roman" w:hAnsi="Times New Roman"/>
        </w:rPr>
      </w:pPr>
      <w:r w:rsidRPr="00AB4C16">
        <w:rPr>
          <w:rFonts w:ascii="Times New Roman" w:hAnsi="Times New Roman"/>
          <w:b/>
        </w:rPr>
        <w:t xml:space="preserve">Dispositif d’assistance technique (DAT) au FCE : </w:t>
      </w:r>
      <w:r w:rsidR="00000817" w:rsidRPr="00AB4C16">
        <w:rPr>
          <w:rFonts w:ascii="Times New Roman" w:hAnsi="Times New Roman"/>
        </w:rPr>
        <w:t>p</w:t>
      </w:r>
      <w:r w:rsidRPr="00AB4C16">
        <w:rPr>
          <w:rFonts w:ascii="Times New Roman" w:hAnsi="Times New Roman"/>
        </w:rPr>
        <w:t xml:space="preserve">our rappel, lors du premier cycle de financement, l’AFD avait délégué la mise en œuvre du DAT </w:t>
      </w:r>
      <w:r w:rsidR="00980608" w:rsidRPr="00AB4C16">
        <w:rPr>
          <w:rFonts w:ascii="Times New Roman" w:hAnsi="Times New Roman"/>
        </w:rPr>
        <w:t xml:space="preserve">à </w:t>
      </w:r>
      <w:r w:rsidRPr="00AB4C16">
        <w:rPr>
          <w:rFonts w:ascii="Times New Roman" w:hAnsi="Times New Roman"/>
        </w:rPr>
        <w:t>l’UNICEF, qui avait été confiée à un ensemblier recruté à travers un appel d’offres international. Un nouvel AOI sera lancé pour ce second cycle de financement</w:t>
      </w:r>
    </w:p>
    <w:p w14:paraId="2CA7F9B3" w14:textId="7D37820F" w:rsidR="00980608" w:rsidRPr="00AB4C16" w:rsidRDefault="00C715C6" w:rsidP="00986AEE">
      <w:pPr>
        <w:pStyle w:val="Paragraphedeliste"/>
        <w:numPr>
          <w:ilvl w:val="0"/>
          <w:numId w:val="60"/>
        </w:numPr>
        <w:jc w:val="both"/>
        <w:rPr>
          <w:rFonts w:ascii="Times New Roman" w:hAnsi="Times New Roman"/>
        </w:rPr>
      </w:pPr>
      <w:r w:rsidRPr="00AB4C16">
        <w:rPr>
          <w:rFonts w:ascii="Times New Roman" w:hAnsi="Times New Roman"/>
          <w:b/>
        </w:rPr>
        <w:t>Expertise en matière de gen</w:t>
      </w:r>
      <w:r w:rsidR="006A23EB" w:rsidRPr="00AB4C16">
        <w:rPr>
          <w:rFonts w:ascii="Times New Roman" w:hAnsi="Times New Roman"/>
          <w:b/>
        </w:rPr>
        <w:t xml:space="preserve">re : </w:t>
      </w:r>
      <w:r w:rsidRPr="00AB4C16">
        <w:rPr>
          <w:rFonts w:ascii="Times New Roman" w:hAnsi="Times New Roman"/>
        </w:rPr>
        <w:t xml:space="preserve">l’assistance technique </w:t>
      </w:r>
      <w:r w:rsidR="006A23EB" w:rsidRPr="00AB4C16">
        <w:rPr>
          <w:rFonts w:ascii="Times New Roman" w:hAnsi="Times New Roman"/>
        </w:rPr>
        <w:t>facilitera le</w:t>
      </w:r>
      <w:r w:rsidRPr="00AB4C16">
        <w:rPr>
          <w:rFonts w:ascii="Times New Roman" w:hAnsi="Times New Roman"/>
        </w:rPr>
        <w:t xml:space="preserve"> développement d’une réponse systémique du </w:t>
      </w:r>
      <w:r w:rsidR="006A23EB" w:rsidRPr="00AB4C16">
        <w:rPr>
          <w:rFonts w:ascii="Times New Roman" w:hAnsi="Times New Roman"/>
        </w:rPr>
        <w:t xml:space="preserve">METFP </w:t>
      </w:r>
      <w:r w:rsidRPr="00AB4C16">
        <w:rPr>
          <w:rFonts w:ascii="Times New Roman" w:hAnsi="Times New Roman"/>
        </w:rPr>
        <w:t xml:space="preserve">en matière de </w:t>
      </w:r>
      <w:r w:rsidR="00980608" w:rsidRPr="00AB4C16">
        <w:rPr>
          <w:rFonts w:ascii="Times New Roman" w:hAnsi="Times New Roman"/>
        </w:rPr>
        <w:t xml:space="preserve">prise en compte </w:t>
      </w:r>
      <w:r w:rsidRPr="00AB4C16">
        <w:rPr>
          <w:rFonts w:ascii="Times New Roman" w:hAnsi="Times New Roman"/>
        </w:rPr>
        <w:t>de l’égalité de genre</w:t>
      </w:r>
      <w:r w:rsidR="006A23EB" w:rsidRPr="00AB4C16">
        <w:rPr>
          <w:rFonts w:ascii="Times New Roman" w:hAnsi="Times New Roman"/>
        </w:rPr>
        <w:t xml:space="preserve"> (</w:t>
      </w:r>
      <w:r w:rsidR="00980608" w:rsidRPr="00AB4C16">
        <w:rPr>
          <w:rFonts w:ascii="Times New Roman" w:hAnsi="Times New Roman"/>
        </w:rPr>
        <w:t>la cohérence et la pertinence des programmes d’activités sectorielles</w:t>
      </w:r>
      <w:r w:rsidRPr="00AB4C16">
        <w:rPr>
          <w:rFonts w:ascii="Times New Roman" w:hAnsi="Times New Roman"/>
        </w:rPr>
        <w:t>, renforce</w:t>
      </w:r>
      <w:r w:rsidR="006A23EB" w:rsidRPr="00AB4C16">
        <w:rPr>
          <w:rFonts w:ascii="Times New Roman" w:hAnsi="Times New Roman"/>
        </w:rPr>
        <w:t>ment</w:t>
      </w:r>
      <w:r w:rsidRPr="00AB4C16">
        <w:rPr>
          <w:rFonts w:ascii="Times New Roman" w:hAnsi="Times New Roman"/>
        </w:rPr>
        <w:t xml:space="preserve"> </w:t>
      </w:r>
      <w:r w:rsidR="006A23EB" w:rsidRPr="00AB4C16">
        <w:rPr>
          <w:rFonts w:ascii="Times New Roman" w:hAnsi="Times New Roman"/>
        </w:rPr>
        <w:t>d</w:t>
      </w:r>
      <w:r w:rsidRPr="00AB4C16">
        <w:rPr>
          <w:rFonts w:ascii="Times New Roman" w:hAnsi="Times New Roman"/>
        </w:rPr>
        <w:t>es</w:t>
      </w:r>
      <w:r w:rsidR="00980608" w:rsidRPr="00AB4C16">
        <w:rPr>
          <w:rFonts w:ascii="Times New Roman" w:hAnsi="Times New Roman"/>
        </w:rPr>
        <w:t xml:space="preserve"> capacités des directions techniques au niveau central et des DRETFP en matière de </w:t>
      </w:r>
      <w:r w:rsidRPr="00AB4C16">
        <w:rPr>
          <w:rFonts w:ascii="Times New Roman" w:hAnsi="Times New Roman"/>
        </w:rPr>
        <w:t>planification et mise en œuvre des activités</w:t>
      </w:r>
      <w:r w:rsidR="006A23EB" w:rsidRPr="00AB4C16">
        <w:rPr>
          <w:rFonts w:ascii="Times New Roman" w:hAnsi="Times New Roman"/>
        </w:rPr>
        <w:t>, etc.)</w:t>
      </w:r>
    </w:p>
    <w:p w14:paraId="3D1EDECC" w14:textId="0E7247F2" w:rsidR="00C715C6" w:rsidRPr="00AB4C16" w:rsidRDefault="00C715C6" w:rsidP="00986AEE">
      <w:pPr>
        <w:pStyle w:val="Paragraphedeliste"/>
        <w:numPr>
          <w:ilvl w:val="0"/>
          <w:numId w:val="60"/>
        </w:numPr>
        <w:jc w:val="both"/>
        <w:rPr>
          <w:rFonts w:ascii="Times New Roman" w:hAnsi="Times New Roman"/>
        </w:rPr>
      </w:pPr>
      <w:r w:rsidRPr="00AB4C16">
        <w:rPr>
          <w:rFonts w:ascii="Times New Roman" w:hAnsi="Times New Roman"/>
          <w:b/>
        </w:rPr>
        <w:t xml:space="preserve">Suivi </w:t>
      </w:r>
      <w:r w:rsidR="00980608" w:rsidRPr="00AB4C16">
        <w:rPr>
          <w:rFonts w:ascii="Times New Roman" w:hAnsi="Times New Roman"/>
          <w:b/>
        </w:rPr>
        <w:t>de l’exécution technique</w:t>
      </w:r>
      <w:r w:rsidRPr="00AB4C16">
        <w:rPr>
          <w:rFonts w:ascii="Times New Roman" w:hAnsi="Times New Roman"/>
          <w:b/>
        </w:rPr>
        <w:t xml:space="preserve">, coordination et assurance qualité de la mise en œuvre du financement de l’UE </w:t>
      </w:r>
      <w:r w:rsidRPr="00AB4C16">
        <w:rPr>
          <w:rFonts w:ascii="Times New Roman" w:hAnsi="Times New Roman"/>
        </w:rPr>
        <w:t>:</w:t>
      </w:r>
      <w:r w:rsidR="00980608" w:rsidRPr="00AB4C16">
        <w:rPr>
          <w:rFonts w:ascii="Times New Roman" w:hAnsi="Times New Roman"/>
        </w:rPr>
        <w:t xml:space="preserve"> intégrée à l’AFD, </w:t>
      </w:r>
      <w:r w:rsidRPr="00AB4C16">
        <w:rPr>
          <w:rFonts w:ascii="Times New Roman" w:hAnsi="Times New Roman"/>
        </w:rPr>
        <w:t>cette expertise aura</w:t>
      </w:r>
      <w:r w:rsidR="00980608" w:rsidRPr="00AB4C16">
        <w:rPr>
          <w:rFonts w:ascii="Times New Roman" w:hAnsi="Times New Roman"/>
        </w:rPr>
        <w:t xml:space="preserve"> pour objectif d’assurer</w:t>
      </w:r>
      <w:r w:rsidR="006A23EB" w:rsidRPr="00AB4C16">
        <w:rPr>
          <w:rFonts w:ascii="Times New Roman" w:hAnsi="Times New Roman"/>
        </w:rPr>
        <w:t xml:space="preserve"> un suivi quotidien de l’</w:t>
      </w:r>
      <w:r w:rsidR="00980608" w:rsidRPr="00AB4C16">
        <w:rPr>
          <w:rFonts w:ascii="Times New Roman" w:hAnsi="Times New Roman"/>
        </w:rPr>
        <w:t>exécution technique et fiduciaire d</w:t>
      </w:r>
      <w:r w:rsidR="006A23EB" w:rsidRPr="00AB4C16">
        <w:rPr>
          <w:rFonts w:ascii="Times New Roman" w:hAnsi="Times New Roman"/>
        </w:rPr>
        <w:t xml:space="preserve">e la délégation de la DUE. A ce titre, le prestataire accompagnera la </w:t>
      </w:r>
      <w:r w:rsidR="00980608" w:rsidRPr="00AB4C16">
        <w:rPr>
          <w:rFonts w:ascii="Times New Roman" w:hAnsi="Times New Roman"/>
        </w:rPr>
        <w:t xml:space="preserve">planification </w:t>
      </w:r>
      <w:r w:rsidRPr="00AB4C16">
        <w:rPr>
          <w:rFonts w:ascii="Times New Roman" w:hAnsi="Times New Roman"/>
        </w:rPr>
        <w:t>jusqu’à la</w:t>
      </w:r>
      <w:r w:rsidR="00980608" w:rsidRPr="00AB4C16">
        <w:rPr>
          <w:rFonts w:ascii="Times New Roman" w:hAnsi="Times New Roman"/>
        </w:rPr>
        <w:t xml:space="preserve"> mise en œuvre </w:t>
      </w:r>
      <w:r w:rsidRPr="00AB4C16">
        <w:rPr>
          <w:rFonts w:ascii="Times New Roman" w:hAnsi="Times New Roman"/>
        </w:rPr>
        <w:t>et le</w:t>
      </w:r>
      <w:r w:rsidR="00980608" w:rsidRPr="00AB4C16">
        <w:rPr>
          <w:rFonts w:ascii="Times New Roman" w:hAnsi="Times New Roman"/>
        </w:rPr>
        <w:t xml:space="preserve"> suivi des activités, appui à la collecte des informations et </w:t>
      </w:r>
      <w:r w:rsidRPr="00AB4C16">
        <w:rPr>
          <w:rFonts w:ascii="Times New Roman" w:hAnsi="Times New Roman"/>
        </w:rPr>
        <w:t>la redevabilité vis-à-vis</w:t>
      </w:r>
      <w:r w:rsidR="00980608" w:rsidRPr="00AB4C16">
        <w:rPr>
          <w:rFonts w:ascii="Times New Roman" w:hAnsi="Times New Roman"/>
        </w:rPr>
        <w:t xml:space="preserve"> de </w:t>
      </w:r>
      <w:r w:rsidRPr="00AB4C16">
        <w:rPr>
          <w:rFonts w:ascii="Times New Roman" w:hAnsi="Times New Roman"/>
        </w:rPr>
        <w:t xml:space="preserve">l’UE, etc. Cette AT fera notamment le lien avec l’équipe chargée du monitoring externe du programme « Compétences pour </w:t>
      </w:r>
      <w:proofErr w:type="spellStart"/>
      <w:r w:rsidRPr="00AB4C16">
        <w:rPr>
          <w:rFonts w:ascii="Times New Roman" w:hAnsi="Times New Roman"/>
        </w:rPr>
        <w:t>tou.</w:t>
      </w:r>
      <w:proofErr w:type="gramStart"/>
      <w:r w:rsidRPr="00AB4C16">
        <w:rPr>
          <w:rFonts w:ascii="Times New Roman" w:hAnsi="Times New Roman"/>
        </w:rPr>
        <w:t>te.s</w:t>
      </w:r>
      <w:proofErr w:type="spellEnd"/>
      <w:proofErr w:type="gramEnd"/>
      <w:r w:rsidRPr="00AB4C16">
        <w:rPr>
          <w:rFonts w:ascii="Times New Roman" w:hAnsi="Times New Roman"/>
        </w:rPr>
        <w:t> »</w:t>
      </w:r>
      <w:r w:rsidR="006A23EB" w:rsidRPr="00AB4C16">
        <w:rPr>
          <w:rFonts w:ascii="Times New Roman" w:hAnsi="Times New Roman"/>
        </w:rPr>
        <w:t xml:space="preserve"> ainsi qu’avec les équipes d’EF et de l’AUF selon les besoins. </w:t>
      </w:r>
    </w:p>
    <w:p w14:paraId="3489A253" w14:textId="08A480D1" w:rsidR="00980608" w:rsidRPr="00AB4C16" w:rsidRDefault="00C715C6" w:rsidP="00986AEE">
      <w:pPr>
        <w:pStyle w:val="Paragraphedeliste"/>
        <w:numPr>
          <w:ilvl w:val="0"/>
          <w:numId w:val="60"/>
        </w:numPr>
        <w:jc w:val="both"/>
        <w:rPr>
          <w:rFonts w:ascii="Times New Roman" w:hAnsi="Times New Roman"/>
        </w:rPr>
      </w:pPr>
      <w:r w:rsidRPr="00AB4C16">
        <w:rPr>
          <w:rFonts w:ascii="Times New Roman" w:hAnsi="Times New Roman"/>
          <w:b/>
        </w:rPr>
        <w:t>Valorisation de l’action</w:t>
      </w:r>
      <w:r w:rsidR="00980608" w:rsidRPr="00AB4C16">
        <w:rPr>
          <w:rFonts w:ascii="Times New Roman" w:hAnsi="Times New Roman"/>
          <w:b/>
        </w:rPr>
        <w:t xml:space="preserve"> du FCE</w:t>
      </w:r>
      <w:r w:rsidR="00980608" w:rsidRPr="00AB4C16">
        <w:rPr>
          <w:rFonts w:ascii="Times New Roman" w:hAnsi="Times New Roman"/>
        </w:rPr>
        <w:t> </w:t>
      </w:r>
      <w:r w:rsidRPr="00AB4C16">
        <w:rPr>
          <w:rFonts w:ascii="Times New Roman" w:hAnsi="Times New Roman"/>
          <w:b/>
        </w:rPr>
        <w:t>auprès du grand public</w:t>
      </w:r>
      <w:r w:rsidRPr="00AB4C16">
        <w:rPr>
          <w:rFonts w:ascii="Times New Roman" w:hAnsi="Times New Roman"/>
        </w:rPr>
        <w:t>: un prestataire externe sera recruté pour appuyer</w:t>
      </w:r>
      <w:r w:rsidR="00980608" w:rsidRPr="00AB4C16">
        <w:rPr>
          <w:rFonts w:ascii="Times New Roman" w:hAnsi="Times New Roman"/>
        </w:rPr>
        <w:t xml:space="preserve"> le METFP dans la mise en œuvre </w:t>
      </w:r>
      <w:r w:rsidRPr="00AB4C16">
        <w:rPr>
          <w:rFonts w:ascii="Times New Roman" w:hAnsi="Times New Roman"/>
        </w:rPr>
        <w:t>d’actions</w:t>
      </w:r>
      <w:r w:rsidR="00980608" w:rsidRPr="00AB4C16">
        <w:rPr>
          <w:rFonts w:ascii="Times New Roman" w:hAnsi="Times New Roman"/>
        </w:rPr>
        <w:t xml:space="preserve"> de communication institutionnelle prévues dans le cadre du FCE et </w:t>
      </w:r>
      <w:r w:rsidRPr="00AB4C16">
        <w:rPr>
          <w:rFonts w:ascii="Times New Roman" w:hAnsi="Times New Roman"/>
        </w:rPr>
        <w:t>pour</w:t>
      </w:r>
      <w:r w:rsidR="00980608" w:rsidRPr="00AB4C16">
        <w:rPr>
          <w:rFonts w:ascii="Times New Roman" w:hAnsi="Times New Roman"/>
        </w:rPr>
        <w:t xml:space="preserve"> développer une communication sur le FCE à destination du grand public via différentes modalités de communication</w:t>
      </w:r>
      <w:r w:rsidRPr="00AB4C16">
        <w:rPr>
          <w:rFonts w:ascii="Times New Roman" w:hAnsi="Times New Roman"/>
        </w:rPr>
        <w:t xml:space="preserve">. </w:t>
      </w:r>
    </w:p>
    <w:p w14:paraId="59A097A9" w14:textId="77777777" w:rsidR="006A23EB" w:rsidRPr="00AB4C16" w:rsidRDefault="00C715C6" w:rsidP="00986AEE">
      <w:pPr>
        <w:pStyle w:val="Paragraphedeliste"/>
        <w:numPr>
          <w:ilvl w:val="0"/>
          <w:numId w:val="60"/>
        </w:numPr>
        <w:jc w:val="both"/>
        <w:rPr>
          <w:rFonts w:ascii="Times New Roman" w:hAnsi="Times New Roman"/>
        </w:rPr>
      </w:pPr>
      <w:r w:rsidRPr="00AB4C16">
        <w:rPr>
          <w:rFonts w:ascii="Times New Roman" w:hAnsi="Times New Roman"/>
          <w:b/>
        </w:rPr>
        <w:t>Suivi fiduciaire du FCE </w:t>
      </w:r>
      <w:r w:rsidRPr="00AB4C16">
        <w:rPr>
          <w:rFonts w:ascii="Times New Roman" w:hAnsi="Times New Roman"/>
        </w:rPr>
        <w:t>: il s’agit</w:t>
      </w:r>
      <w:r w:rsidR="00980608" w:rsidRPr="00AB4C16">
        <w:rPr>
          <w:rFonts w:ascii="Times New Roman" w:hAnsi="Times New Roman"/>
        </w:rPr>
        <w:t xml:space="preserve"> des audits externes annuels du FCE.</w:t>
      </w:r>
    </w:p>
    <w:p w14:paraId="1F250EDD" w14:textId="513EBE0B" w:rsidR="00980608" w:rsidRPr="00EB468C" w:rsidRDefault="00980608" w:rsidP="00986AEE">
      <w:pPr>
        <w:jc w:val="both"/>
      </w:pPr>
    </w:p>
    <w:p w14:paraId="664F0674" w14:textId="21E09919" w:rsidR="00980608" w:rsidRPr="00EB468C" w:rsidRDefault="00980608" w:rsidP="00E76C8C">
      <w:pPr>
        <w:pBdr>
          <w:top w:val="nil"/>
          <w:left w:val="nil"/>
          <w:bottom w:val="nil"/>
          <w:right w:val="nil"/>
          <w:between w:val="nil"/>
        </w:pBdr>
        <w:spacing w:line="240" w:lineRule="auto"/>
        <w:ind w:right="139" w:hanging="2"/>
        <w:jc w:val="both"/>
        <w:rPr>
          <w:sz w:val="22"/>
          <w:szCs w:val="22"/>
        </w:rPr>
      </w:pPr>
      <w:r w:rsidRPr="00EB468C">
        <w:rPr>
          <w:sz w:val="22"/>
          <w:szCs w:val="22"/>
        </w:rPr>
        <w:t xml:space="preserve">L’AFD veillera </w:t>
      </w:r>
      <w:r w:rsidR="00C715C6" w:rsidRPr="00EB468C">
        <w:rPr>
          <w:sz w:val="22"/>
          <w:szCs w:val="22"/>
        </w:rPr>
        <w:t xml:space="preserve">autant que possible </w:t>
      </w:r>
      <w:r w:rsidRPr="00EB468C">
        <w:rPr>
          <w:sz w:val="22"/>
          <w:szCs w:val="22"/>
        </w:rPr>
        <w:t xml:space="preserve">à la </w:t>
      </w:r>
      <w:r w:rsidR="00C715C6" w:rsidRPr="00EB468C">
        <w:rPr>
          <w:sz w:val="22"/>
          <w:szCs w:val="22"/>
        </w:rPr>
        <w:t>bonne articulation entre les interventions menées dans</w:t>
      </w:r>
      <w:r w:rsidRPr="00EB468C">
        <w:rPr>
          <w:sz w:val="22"/>
          <w:szCs w:val="22"/>
        </w:rPr>
        <w:t xml:space="preserve"> le </w:t>
      </w:r>
      <w:r w:rsidR="00C715C6" w:rsidRPr="00EB468C">
        <w:rPr>
          <w:sz w:val="22"/>
          <w:szCs w:val="22"/>
        </w:rPr>
        <w:t>cadre du FCE (contribution au fonds et assistances techniques) et celles menées dans le cadre de la composante d’appui institutionnel et</w:t>
      </w:r>
      <w:r w:rsidRPr="00EB468C">
        <w:rPr>
          <w:sz w:val="22"/>
          <w:szCs w:val="22"/>
        </w:rPr>
        <w:t xml:space="preserve"> technique </w:t>
      </w:r>
      <w:r w:rsidR="00C715C6" w:rsidRPr="00EB468C">
        <w:rPr>
          <w:sz w:val="22"/>
          <w:szCs w:val="22"/>
        </w:rPr>
        <w:t>du programme</w:t>
      </w:r>
      <w:r w:rsidRPr="00EB468C">
        <w:rPr>
          <w:sz w:val="22"/>
          <w:szCs w:val="22"/>
        </w:rPr>
        <w:t xml:space="preserve"> de </w:t>
      </w:r>
      <w:r w:rsidR="00C715C6" w:rsidRPr="00EB468C">
        <w:rPr>
          <w:sz w:val="22"/>
          <w:szCs w:val="22"/>
        </w:rPr>
        <w:t xml:space="preserve">l’UE « Compétences pour </w:t>
      </w:r>
      <w:proofErr w:type="spellStart"/>
      <w:r w:rsidR="00C715C6" w:rsidRPr="00EB468C">
        <w:rPr>
          <w:sz w:val="22"/>
          <w:szCs w:val="22"/>
        </w:rPr>
        <w:t>tou.tes</w:t>
      </w:r>
      <w:proofErr w:type="spellEnd"/>
      <w:r w:rsidR="00C715C6" w:rsidRPr="00EB468C">
        <w:rPr>
          <w:sz w:val="22"/>
          <w:szCs w:val="22"/>
        </w:rPr>
        <w:t> »</w:t>
      </w:r>
      <w:r w:rsidRPr="00EB468C">
        <w:rPr>
          <w:sz w:val="22"/>
          <w:szCs w:val="22"/>
        </w:rPr>
        <w:t xml:space="preserve"> mise en œuvre </w:t>
      </w:r>
      <w:r w:rsidR="00C715C6" w:rsidRPr="00EB468C">
        <w:rPr>
          <w:sz w:val="22"/>
          <w:szCs w:val="22"/>
        </w:rPr>
        <w:t>par Expertise France, tant</w:t>
      </w:r>
      <w:r w:rsidRPr="00EB468C">
        <w:rPr>
          <w:sz w:val="22"/>
          <w:szCs w:val="22"/>
        </w:rPr>
        <w:t xml:space="preserve"> en termes </w:t>
      </w:r>
      <w:r w:rsidR="00C715C6" w:rsidRPr="00EB468C">
        <w:rPr>
          <w:sz w:val="22"/>
          <w:szCs w:val="22"/>
        </w:rPr>
        <w:t>géographiques qu’en ce qui concerne les domaines prioritaires</w:t>
      </w:r>
      <w:r w:rsidRPr="00EB468C">
        <w:rPr>
          <w:sz w:val="22"/>
          <w:szCs w:val="22"/>
        </w:rPr>
        <w:t xml:space="preserve"> du </w:t>
      </w:r>
      <w:r w:rsidR="00C715C6" w:rsidRPr="00EB468C">
        <w:rPr>
          <w:sz w:val="22"/>
          <w:szCs w:val="22"/>
        </w:rPr>
        <w:t>programme.</w:t>
      </w:r>
    </w:p>
    <w:p w14:paraId="6DB2A3CA" w14:textId="1D66FBDF" w:rsidR="00D86ABF" w:rsidRPr="00EB468C" w:rsidRDefault="00980608" w:rsidP="00EB468C">
      <w:pPr>
        <w:pStyle w:val="Titre1"/>
        <w:rPr>
          <w:b/>
          <w:i w:val="0"/>
          <w:color w:val="222222"/>
          <w:sz w:val="24"/>
        </w:rPr>
      </w:pPr>
      <w:r w:rsidRPr="00EB468C">
        <w:rPr>
          <w:color w:val="222222"/>
          <w:sz w:val="22"/>
          <w:szCs w:val="22"/>
        </w:rPr>
        <w:br w:type="page"/>
      </w:r>
      <w:r w:rsidR="006B6A23">
        <w:rPr>
          <w:b/>
          <w:i w:val="0"/>
          <w:sz w:val="24"/>
        </w:rPr>
        <w:lastRenderedPageBreak/>
        <w:t>LES O</w:t>
      </w:r>
      <w:r w:rsidR="00D86ABF" w:rsidRPr="00EB468C">
        <w:rPr>
          <w:b/>
          <w:i w:val="0"/>
          <w:sz w:val="24"/>
        </w:rPr>
        <w:t>BJECTIF</w:t>
      </w:r>
      <w:r w:rsidR="006B6A23">
        <w:rPr>
          <w:b/>
          <w:i w:val="0"/>
          <w:sz w:val="24"/>
        </w:rPr>
        <w:t>S</w:t>
      </w:r>
      <w:r w:rsidR="00D86ABF" w:rsidRPr="00EB468C">
        <w:rPr>
          <w:b/>
          <w:i w:val="0"/>
          <w:sz w:val="24"/>
        </w:rPr>
        <w:t xml:space="preserve"> DE LA PRESTATION</w:t>
      </w:r>
    </w:p>
    <w:p w14:paraId="79426BA6" w14:textId="77777777" w:rsidR="00D86ABF" w:rsidRPr="00222B6D" w:rsidRDefault="00D86ABF" w:rsidP="00EB468C">
      <w:pPr>
        <w:spacing w:line="240" w:lineRule="auto"/>
        <w:rPr>
          <w:b/>
          <w:i/>
          <w:sz w:val="24"/>
          <w:u w:val="single"/>
        </w:rPr>
      </w:pPr>
    </w:p>
    <w:p w14:paraId="18D6041D" w14:textId="39811029" w:rsidR="00773699" w:rsidRDefault="00AB4C16" w:rsidP="00EB468C">
      <w:pPr>
        <w:pStyle w:val="Titre2"/>
        <w:numPr>
          <w:ilvl w:val="0"/>
          <w:numId w:val="0"/>
        </w:numPr>
        <w:spacing w:before="0" w:line="240" w:lineRule="auto"/>
        <w:rPr>
          <w:b/>
          <w:i w:val="0"/>
          <w:color w:val="auto"/>
          <w:sz w:val="24"/>
          <w:u w:val="single"/>
        </w:rPr>
      </w:pPr>
      <w:r>
        <w:rPr>
          <w:b/>
          <w:i w:val="0"/>
          <w:color w:val="auto"/>
          <w:sz w:val="24"/>
          <w:u w:val="single"/>
        </w:rPr>
        <w:t>Finalité</w:t>
      </w:r>
    </w:p>
    <w:p w14:paraId="0428B578" w14:textId="2072F5A5" w:rsidR="00D86ABF" w:rsidRPr="00773699" w:rsidRDefault="00D86ABF" w:rsidP="00AB4C16"/>
    <w:p w14:paraId="57018A96" w14:textId="46363404" w:rsidR="00D86ABF" w:rsidRPr="00EB468C" w:rsidRDefault="00D86ABF" w:rsidP="00EB468C">
      <w:pPr>
        <w:spacing w:line="240" w:lineRule="auto"/>
        <w:jc w:val="both"/>
        <w:rPr>
          <w:color w:val="222222"/>
          <w:sz w:val="22"/>
          <w:szCs w:val="22"/>
        </w:rPr>
      </w:pPr>
      <w:r w:rsidRPr="00EB468C">
        <w:rPr>
          <w:color w:val="222222"/>
          <w:sz w:val="22"/>
          <w:szCs w:val="22"/>
        </w:rPr>
        <w:t>La</w:t>
      </w:r>
      <w:r w:rsidR="00D30EB2">
        <w:rPr>
          <w:color w:val="222222"/>
          <w:sz w:val="22"/>
          <w:szCs w:val="22"/>
        </w:rPr>
        <w:t xml:space="preserve"> finalité de la </w:t>
      </w:r>
      <w:r w:rsidR="00D30EB2" w:rsidRPr="00EB468C">
        <w:rPr>
          <w:color w:val="222222"/>
          <w:sz w:val="22"/>
          <w:szCs w:val="22"/>
        </w:rPr>
        <w:t>prestation est d’</w:t>
      </w:r>
      <w:r w:rsidR="00D30EB2" w:rsidRPr="00EB468C">
        <w:rPr>
          <w:b/>
          <w:color w:val="222222"/>
          <w:sz w:val="22"/>
          <w:szCs w:val="22"/>
        </w:rPr>
        <w:t>apporter un appui technique au ministère de l’Enseignement technique et de la Formation professionnelle</w:t>
      </w:r>
      <w:r w:rsidR="00D30EB2" w:rsidRPr="00EB468C">
        <w:rPr>
          <w:color w:val="222222"/>
          <w:sz w:val="22"/>
          <w:szCs w:val="22"/>
        </w:rPr>
        <w:t xml:space="preserve"> (METFP), y compris ses directions régionales dans la bonne mise en œuvre du financement. La prestation </w:t>
      </w:r>
      <w:r w:rsidR="00773699" w:rsidRPr="00EB468C">
        <w:rPr>
          <w:color w:val="222222"/>
          <w:sz w:val="22"/>
          <w:szCs w:val="22"/>
        </w:rPr>
        <w:t>v</w:t>
      </w:r>
      <w:r w:rsidR="0015069A" w:rsidRPr="00EB468C">
        <w:rPr>
          <w:color w:val="222222"/>
          <w:sz w:val="22"/>
          <w:szCs w:val="22"/>
        </w:rPr>
        <w:t xml:space="preserve">ise </w:t>
      </w:r>
      <w:r w:rsidR="00773699" w:rsidRPr="00EB468C">
        <w:rPr>
          <w:color w:val="222222"/>
          <w:sz w:val="22"/>
          <w:szCs w:val="22"/>
        </w:rPr>
        <w:t xml:space="preserve">les principaux objectifs suivants </w:t>
      </w:r>
      <w:r w:rsidRPr="00EB468C">
        <w:rPr>
          <w:color w:val="222222"/>
          <w:sz w:val="22"/>
          <w:szCs w:val="22"/>
        </w:rPr>
        <w:t>:</w:t>
      </w:r>
    </w:p>
    <w:p w14:paraId="668B4B8F" w14:textId="6865AC57" w:rsidR="008F2A92" w:rsidRDefault="00927807" w:rsidP="00EB468C">
      <w:pPr>
        <w:pStyle w:val="Paragraphedeliste"/>
        <w:numPr>
          <w:ilvl w:val="0"/>
          <w:numId w:val="54"/>
        </w:numPr>
        <w:spacing w:after="0" w:line="240" w:lineRule="auto"/>
        <w:ind w:left="1134" w:hanging="420"/>
        <w:contextualSpacing w:val="0"/>
        <w:jc w:val="both"/>
        <w:rPr>
          <w:rFonts w:ascii="Times New Roman" w:hAnsi="Times New Roman"/>
          <w:color w:val="222222"/>
        </w:rPr>
      </w:pPr>
      <w:r w:rsidRPr="00EB468C">
        <w:rPr>
          <w:rFonts w:ascii="Times New Roman" w:hAnsi="Times New Roman"/>
          <w:color w:val="222222"/>
        </w:rPr>
        <w:t>Suivre et a</w:t>
      </w:r>
      <w:r w:rsidR="008D017A" w:rsidRPr="00EB468C">
        <w:rPr>
          <w:rFonts w:ascii="Times New Roman" w:hAnsi="Times New Roman"/>
          <w:color w:val="222222"/>
        </w:rPr>
        <w:t>ppuyer l</w:t>
      </w:r>
      <w:r w:rsidRPr="00EB468C">
        <w:rPr>
          <w:rFonts w:ascii="Times New Roman" w:hAnsi="Times New Roman"/>
          <w:color w:val="222222"/>
        </w:rPr>
        <w:t xml:space="preserve">’exécution </w:t>
      </w:r>
      <w:r w:rsidRPr="00EB468C">
        <w:rPr>
          <w:rFonts w:ascii="Times New Roman" w:hAnsi="Times New Roman"/>
          <w:i/>
          <w:color w:val="222222"/>
        </w:rPr>
        <w:t>technique</w:t>
      </w:r>
      <w:r w:rsidRPr="00EB468C">
        <w:rPr>
          <w:rFonts w:ascii="Times New Roman" w:hAnsi="Times New Roman"/>
          <w:color w:val="222222"/>
        </w:rPr>
        <w:t xml:space="preserve"> du FCE </w:t>
      </w:r>
      <w:r w:rsidR="008D017A" w:rsidRPr="00EB468C">
        <w:rPr>
          <w:rFonts w:ascii="Times New Roman" w:hAnsi="Times New Roman"/>
          <w:color w:val="222222"/>
        </w:rPr>
        <w:t xml:space="preserve">: </w:t>
      </w:r>
      <w:r w:rsidRPr="00EB468C">
        <w:rPr>
          <w:rFonts w:ascii="Times New Roman" w:hAnsi="Times New Roman"/>
          <w:color w:val="222222"/>
        </w:rPr>
        <w:t xml:space="preserve">en consultation avec les parties prenantes, assurer le suivi général de l’exécution, avec une attention particulière au CAS METFP. A ce titre, </w:t>
      </w:r>
      <w:proofErr w:type="gramStart"/>
      <w:r w:rsidRPr="00EB468C">
        <w:rPr>
          <w:rFonts w:ascii="Times New Roman" w:hAnsi="Times New Roman"/>
          <w:color w:val="222222"/>
        </w:rPr>
        <w:t>l</w:t>
      </w:r>
      <w:r w:rsidR="000C052E">
        <w:rPr>
          <w:rFonts w:ascii="Times New Roman" w:hAnsi="Times New Roman"/>
          <w:color w:val="222222"/>
        </w:rPr>
        <w:t>’</w:t>
      </w:r>
      <w:proofErr w:type="spellStart"/>
      <w:r w:rsidR="000C052E">
        <w:rPr>
          <w:rFonts w:ascii="Times New Roman" w:hAnsi="Times New Roman"/>
          <w:color w:val="222222"/>
        </w:rPr>
        <w:t>expert.</w:t>
      </w:r>
      <w:r w:rsidRPr="00EB468C">
        <w:rPr>
          <w:rFonts w:ascii="Times New Roman" w:hAnsi="Times New Roman"/>
          <w:color w:val="222222"/>
        </w:rPr>
        <w:t>e</w:t>
      </w:r>
      <w:proofErr w:type="spellEnd"/>
      <w:proofErr w:type="gramEnd"/>
      <w:r w:rsidRPr="00EB468C">
        <w:rPr>
          <w:rFonts w:ascii="Times New Roman" w:hAnsi="Times New Roman"/>
          <w:color w:val="222222"/>
        </w:rPr>
        <w:t xml:space="preserve"> </w:t>
      </w:r>
      <w:r w:rsidR="009C772D" w:rsidRPr="00EB468C">
        <w:rPr>
          <w:rFonts w:ascii="Times New Roman" w:hAnsi="Times New Roman"/>
          <w:color w:val="222222"/>
        </w:rPr>
        <w:t xml:space="preserve"> </w:t>
      </w:r>
      <w:r w:rsidRPr="00EB468C">
        <w:rPr>
          <w:rFonts w:ascii="Times New Roman" w:hAnsi="Times New Roman"/>
          <w:color w:val="222222"/>
        </w:rPr>
        <w:t xml:space="preserve">accompagnera le suivi technique et financier du FCE (identification des goulots d’étranglements et des solutions, analyse et synthèse analytique des rapports techniques et financiers produits dans le cadre du FCE, </w:t>
      </w:r>
      <w:r w:rsidR="008F2A92" w:rsidRPr="00EB468C">
        <w:rPr>
          <w:rFonts w:ascii="Times New Roman" w:hAnsi="Times New Roman"/>
          <w:color w:val="222222"/>
        </w:rPr>
        <w:t>etc.)</w:t>
      </w:r>
    </w:p>
    <w:p w14:paraId="0FD636B2" w14:textId="6B480E1A" w:rsidR="008F2A92" w:rsidRPr="00EB468C" w:rsidRDefault="00927807" w:rsidP="00EB468C">
      <w:pPr>
        <w:pStyle w:val="Paragraphedeliste"/>
        <w:numPr>
          <w:ilvl w:val="0"/>
          <w:numId w:val="54"/>
        </w:numPr>
        <w:spacing w:after="0" w:line="240" w:lineRule="auto"/>
        <w:ind w:left="1134" w:hanging="420"/>
        <w:contextualSpacing w:val="0"/>
        <w:jc w:val="both"/>
        <w:rPr>
          <w:rFonts w:ascii="Times New Roman" w:hAnsi="Times New Roman"/>
          <w:color w:val="222222"/>
        </w:rPr>
      </w:pPr>
      <w:r w:rsidRPr="00EB468C">
        <w:rPr>
          <w:rFonts w:ascii="Times New Roman" w:hAnsi="Times New Roman"/>
          <w:color w:val="222222"/>
        </w:rPr>
        <w:t xml:space="preserve">Suivre et appuyer l’exécution </w:t>
      </w:r>
      <w:r w:rsidRPr="00EB468C">
        <w:rPr>
          <w:rFonts w:ascii="Times New Roman" w:hAnsi="Times New Roman"/>
          <w:i/>
          <w:color w:val="222222"/>
        </w:rPr>
        <w:t>financière et administrative</w:t>
      </w:r>
      <w:r w:rsidRPr="00EB468C">
        <w:rPr>
          <w:rFonts w:ascii="Times New Roman" w:hAnsi="Times New Roman"/>
          <w:color w:val="222222"/>
        </w:rPr>
        <w:t xml:space="preserve"> du FCE : </w:t>
      </w:r>
      <w:r w:rsidR="008D017A" w:rsidRPr="00EB468C">
        <w:rPr>
          <w:rFonts w:ascii="Times New Roman" w:hAnsi="Times New Roman"/>
          <w:color w:val="222222"/>
        </w:rPr>
        <w:t>préparation des prévisions de</w:t>
      </w:r>
      <w:r w:rsidRPr="00EB468C">
        <w:rPr>
          <w:rFonts w:ascii="Times New Roman" w:hAnsi="Times New Roman"/>
          <w:color w:val="222222"/>
        </w:rPr>
        <w:t>s</w:t>
      </w:r>
      <w:r w:rsidR="008D017A" w:rsidRPr="00EB468C">
        <w:rPr>
          <w:rFonts w:ascii="Times New Roman" w:hAnsi="Times New Roman"/>
          <w:color w:val="222222"/>
        </w:rPr>
        <w:t xml:space="preserve"> décaissement</w:t>
      </w:r>
      <w:r w:rsidRPr="00EB468C">
        <w:rPr>
          <w:rFonts w:ascii="Times New Roman" w:hAnsi="Times New Roman"/>
          <w:color w:val="222222"/>
        </w:rPr>
        <w:t>s</w:t>
      </w:r>
      <w:r w:rsidR="008D017A" w:rsidRPr="00EB468C">
        <w:rPr>
          <w:rFonts w:ascii="Times New Roman" w:hAnsi="Times New Roman"/>
          <w:color w:val="222222"/>
        </w:rPr>
        <w:t xml:space="preserve">, </w:t>
      </w:r>
      <w:r w:rsidRPr="00EB468C">
        <w:rPr>
          <w:rFonts w:ascii="Times New Roman" w:hAnsi="Times New Roman"/>
          <w:color w:val="222222"/>
        </w:rPr>
        <w:t xml:space="preserve">des </w:t>
      </w:r>
      <w:r w:rsidR="008D017A" w:rsidRPr="00EB468C">
        <w:rPr>
          <w:rFonts w:ascii="Times New Roman" w:hAnsi="Times New Roman"/>
          <w:color w:val="222222"/>
        </w:rPr>
        <w:t xml:space="preserve">appels des fonds, </w:t>
      </w:r>
      <w:r w:rsidRPr="00EB468C">
        <w:rPr>
          <w:rFonts w:ascii="Times New Roman" w:hAnsi="Times New Roman"/>
          <w:color w:val="222222"/>
        </w:rPr>
        <w:t xml:space="preserve">suivi des </w:t>
      </w:r>
      <w:r w:rsidR="008D017A" w:rsidRPr="00EB468C">
        <w:rPr>
          <w:rFonts w:ascii="Times New Roman" w:hAnsi="Times New Roman"/>
          <w:color w:val="222222"/>
        </w:rPr>
        <w:t>décaissements</w:t>
      </w:r>
      <w:r w:rsidRPr="00EB468C">
        <w:rPr>
          <w:rFonts w:ascii="Times New Roman" w:hAnsi="Times New Roman"/>
          <w:color w:val="222222"/>
        </w:rPr>
        <w:t xml:space="preserve"> et </w:t>
      </w:r>
      <w:r w:rsidR="008D017A" w:rsidRPr="00EB468C">
        <w:rPr>
          <w:rFonts w:ascii="Times New Roman" w:hAnsi="Times New Roman"/>
          <w:color w:val="222222"/>
        </w:rPr>
        <w:t>des audits</w:t>
      </w:r>
      <w:r w:rsidRPr="00EB468C">
        <w:rPr>
          <w:rFonts w:ascii="Times New Roman" w:hAnsi="Times New Roman"/>
          <w:color w:val="222222"/>
        </w:rPr>
        <w:t xml:space="preserve">. En lien avec l’assistance technique et les autres prestataires, accompagner la mise en œuvre des recommandations des audits externes du FCE. </w:t>
      </w:r>
    </w:p>
    <w:p w14:paraId="3CA49715" w14:textId="49B03085" w:rsidR="008F2A92" w:rsidRPr="00EB468C" w:rsidRDefault="008D017A" w:rsidP="00EB468C">
      <w:pPr>
        <w:pStyle w:val="Paragraphedeliste"/>
        <w:numPr>
          <w:ilvl w:val="0"/>
          <w:numId w:val="54"/>
        </w:numPr>
        <w:spacing w:after="0" w:line="240" w:lineRule="auto"/>
        <w:ind w:left="1134" w:hanging="420"/>
        <w:contextualSpacing w:val="0"/>
        <w:jc w:val="both"/>
        <w:rPr>
          <w:rFonts w:ascii="Times New Roman" w:hAnsi="Times New Roman"/>
          <w:color w:val="222222"/>
        </w:rPr>
      </w:pPr>
      <w:r w:rsidRPr="00EB468C">
        <w:rPr>
          <w:rFonts w:ascii="Times New Roman" w:hAnsi="Times New Roman"/>
          <w:color w:val="222222"/>
        </w:rPr>
        <w:t xml:space="preserve">Assurer la passation, le suivi et le contrôle qualité des prestations </w:t>
      </w:r>
      <w:r w:rsidR="008F2A92" w:rsidRPr="00EB468C">
        <w:rPr>
          <w:rFonts w:ascii="Times New Roman" w:hAnsi="Times New Roman"/>
          <w:color w:val="222222"/>
        </w:rPr>
        <w:t xml:space="preserve">en </w:t>
      </w:r>
      <w:r w:rsidRPr="00EB468C">
        <w:rPr>
          <w:rFonts w:ascii="Times New Roman" w:hAnsi="Times New Roman"/>
          <w:color w:val="222222"/>
        </w:rPr>
        <w:t xml:space="preserve">appui à l’exécution du financement de l’UE : </w:t>
      </w:r>
      <w:r w:rsidR="00D30EB2" w:rsidRPr="00EB468C">
        <w:rPr>
          <w:rFonts w:ascii="Times New Roman" w:hAnsi="Times New Roman"/>
          <w:color w:val="222222"/>
        </w:rPr>
        <w:t xml:space="preserve">en étroite collaboration avec l’équipe opérationnelle du bureau de l’AFD à Tana et à Paris, </w:t>
      </w:r>
      <w:proofErr w:type="gramStart"/>
      <w:r w:rsidR="00D30EB2" w:rsidRPr="00EB468C">
        <w:rPr>
          <w:rFonts w:ascii="Times New Roman" w:hAnsi="Times New Roman"/>
          <w:color w:val="222222"/>
        </w:rPr>
        <w:t>l</w:t>
      </w:r>
      <w:r w:rsidR="000C052E">
        <w:rPr>
          <w:rFonts w:ascii="Times New Roman" w:hAnsi="Times New Roman"/>
          <w:color w:val="222222"/>
        </w:rPr>
        <w:t>’</w:t>
      </w:r>
      <w:proofErr w:type="spellStart"/>
      <w:r w:rsidR="000C052E">
        <w:rPr>
          <w:rFonts w:ascii="Times New Roman" w:hAnsi="Times New Roman"/>
          <w:color w:val="222222"/>
        </w:rPr>
        <w:t>expert.</w:t>
      </w:r>
      <w:r w:rsidR="00D30EB2" w:rsidRPr="00EB468C">
        <w:rPr>
          <w:rFonts w:ascii="Times New Roman" w:hAnsi="Times New Roman"/>
          <w:color w:val="222222"/>
        </w:rPr>
        <w:t>e</w:t>
      </w:r>
      <w:proofErr w:type="spellEnd"/>
      <w:proofErr w:type="gramEnd"/>
      <w:r w:rsidR="00D30EB2" w:rsidRPr="00EB468C">
        <w:rPr>
          <w:rFonts w:ascii="Times New Roman" w:hAnsi="Times New Roman"/>
          <w:color w:val="222222"/>
        </w:rPr>
        <w:t xml:space="preserve"> </w:t>
      </w:r>
      <w:r w:rsidR="009C772D" w:rsidRPr="00EB468C">
        <w:rPr>
          <w:rFonts w:ascii="Times New Roman" w:hAnsi="Times New Roman"/>
          <w:color w:val="222222"/>
        </w:rPr>
        <w:t xml:space="preserve"> </w:t>
      </w:r>
      <w:r w:rsidR="00D30EB2" w:rsidRPr="00EB468C">
        <w:rPr>
          <w:rFonts w:ascii="Times New Roman" w:hAnsi="Times New Roman"/>
          <w:color w:val="222222"/>
        </w:rPr>
        <w:t xml:space="preserve">coordonnera et pilotera les trois prestations suivantes : i) audits externes, ii) </w:t>
      </w:r>
      <w:r w:rsidR="00D366CA" w:rsidRPr="00EB468C">
        <w:rPr>
          <w:rFonts w:ascii="Times New Roman" w:hAnsi="Times New Roman"/>
          <w:color w:val="222222"/>
        </w:rPr>
        <w:t>communication et visibilité et iii) assistant(e) technique sur les questions du genre.</w:t>
      </w:r>
    </w:p>
    <w:p w14:paraId="351B7D96" w14:textId="77777777" w:rsidR="008F2A92" w:rsidRPr="00EB468C" w:rsidRDefault="008F2A92" w:rsidP="00EB468C">
      <w:pPr>
        <w:pStyle w:val="Paragraphedeliste"/>
        <w:numPr>
          <w:ilvl w:val="0"/>
          <w:numId w:val="54"/>
        </w:numPr>
        <w:spacing w:after="0" w:line="240" w:lineRule="auto"/>
        <w:ind w:left="1134" w:hanging="420"/>
        <w:contextualSpacing w:val="0"/>
        <w:jc w:val="both"/>
        <w:rPr>
          <w:rFonts w:ascii="Times New Roman" w:hAnsi="Times New Roman"/>
          <w:color w:val="222222"/>
        </w:rPr>
      </w:pPr>
      <w:r w:rsidRPr="00EB468C">
        <w:rPr>
          <w:rFonts w:ascii="Times New Roman" w:hAnsi="Times New Roman"/>
          <w:color w:val="222222"/>
        </w:rPr>
        <w:t>Coordonner les processus de suivi et évaluation: suivre les processus du rapportage et de suivi du FCE, plus particulièrement du CAS METFP. Su</w:t>
      </w:r>
      <w:r w:rsidR="00D30EB2" w:rsidRPr="00EB468C">
        <w:rPr>
          <w:rFonts w:ascii="Times New Roman" w:hAnsi="Times New Roman"/>
          <w:color w:val="222222"/>
        </w:rPr>
        <w:t>r la base du cadre logique</w:t>
      </w:r>
      <w:r w:rsidRPr="00EB468C">
        <w:rPr>
          <w:rFonts w:ascii="Times New Roman" w:hAnsi="Times New Roman"/>
          <w:color w:val="222222"/>
        </w:rPr>
        <w:t xml:space="preserve"> du financement de l’UE</w:t>
      </w:r>
      <w:r w:rsidR="00D30EB2" w:rsidRPr="00EB468C">
        <w:rPr>
          <w:rFonts w:ascii="Times New Roman" w:hAnsi="Times New Roman"/>
          <w:color w:val="222222"/>
        </w:rPr>
        <w:t xml:space="preserve"> (voir annexe 2), le prestataire assurera le suivi-évaluation du financement </w:t>
      </w:r>
      <w:r w:rsidRPr="00EB468C">
        <w:rPr>
          <w:rFonts w:ascii="Times New Roman" w:hAnsi="Times New Roman"/>
          <w:color w:val="222222"/>
        </w:rPr>
        <w:t>délégué</w:t>
      </w:r>
      <w:r w:rsidR="00D30EB2" w:rsidRPr="00EB468C">
        <w:rPr>
          <w:rFonts w:ascii="Times New Roman" w:hAnsi="Times New Roman"/>
          <w:color w:val="222222"/>
        </w:rPr>
        <w:t>, y compris la préparation des rapports de suivi pour l’</w:t>
      </w:r>
      <w:r w:rsidRPr="00EB468C">
        <w:rPr>
          <w:rFonts w:ascii="Times New Roman" w:hAnsi="Times New Roman"/>
          <w:color w:val="222222"/>
        </w:rPr>
        <w:t xml:space="preserve">UE (un rapport annuel). </w:t>
      </w:r>
    </w:p>
    <w:p w14:paraId="2D59C510" w14:textId="71D29792" w:rsidR="00D30EB2" w:rsidRPr="00EB468C" w:rsidRDefault="008F2A92" w:rsidP="00EB468C">
      <w:pPr>
        <w:pStyle w:val="Paragraphedeliste"/>
        <w:numPr>
          <w:ilvl w:val="0"/>
          <w:numId w:val="54"/>
        </w:numPr>
        <w:spacing w:after="0" w:line="240" w:lineRule="auto"/>
        <w:ind w:left="1134" w:hanging="420"/>
        <w:contextualSpacing w:val="0"/>
        <w:jc w:val="both"/>
        <w:rPr>
          <w:rFonts w:ascii="Times New Roman" w:hAnsi="Times New Roman"/>
          <w:color w:val="222222"/>
        </w:rPr>
      </w:pPr>
      <w:r w:rsidRPr="00EB468C">
        <w:rPr>
          <w:rFonts w:ascii="Times New Roman" w:hAnsi="Times New Roman"/>
          <w:color w:val="222222"/>
        </w:rPr>
        <w:t xml:space="preserve">Participer </w:t>
      </w:r>
      <w:r w:rsidRPr="00EB468C">
        <w:rPr>
          <w:rFonts w:ascii="Times New Roman" w:hAnsi="Times New Roman"/>
        </w:rPr>
        <w:t>au dialogue sectoriel et contribuer aux efforts de coordination avec les autres PTF du secteur : visibilité du FCE</w:t>
      </w:r>
      <w:r w:rsidR="0051673F">
        <w:rPr>
          <w:rFonts w:ascii="Times New Roman" w:hAnsi="Times New Roman"/>
        </w:rPr>
        <w:t xml:space="preserve">, communication auprès du </w:t>
      </w:r>
      <w:r w:rsidRPr="00EB468C">
        <w:rPr>
          <w:rFonts w:ascii="Times New Roman" w:hAnsi="Times New Roman"/>
        </w:rPr>
        <w:t xml:space="preserve">GSE, partage avec les autres partenaires du secteur des informations sur le financement et sa mise en œuvre, etc. </w:t>
      </w:r>
    </w:p>
    <w:p w14:paraId="07667BF3" w14:textId="4A809E91" w:rsidR="008F2A92" w:rsidRPr="00EB468C" w:rsidRDefault="008F2A92" w:rsidP="00EB468C">
      <w:pPr>
        <w:pStyle w:val="Paragraphedeliste"/>
        <w:numPr>
          <w:ilvl w:val="0"/>
          <w:numId w:val="54"/>
        </w:numPr>
        <w:spacing w:after="0" w:line="240" w:lineRule="auto"/>
        <w:ind w:left="1134" w:hanging="420"/>
        <w:contextualSpacing w:val="0"/>
        <w:jc w:val="both"/>
        <w:rPr>
          <w:rFonts w:ascii="Times New Roman" w:hAnsi="Times New Roman"/>
          <w:color w:val="222222"/>
        </w:rPr>
      </w:pPr>
      <w:r w:rsidRPr="00EB468C">
        <w:rPr>
          <w:rFonts w:ascii="Times New Roman" w:hAnsi="Times New Roman"/>
        </w:rPr>
        <w:t>Faciliter l’organis</w:t>
      </w:r>
      <w:r w:rsidR="009C772D">
        <w:rPr>
          <w:rFonts w:ascii="Times New Roman" w:hAnsi="Times New Roman"/>
        </w:rPr>
        <w:t>ation</w:t>
      </w:r>
      <w:r w:rsidRPr="00EB468C">
        <w:rPr>
          <w:rFonts w:ascii="Times New Roman" w:hAnsi="Times New Roman"/>
        </w:rPr>
        <w:t xml:space="preserve"> </w:t>
      </w:r>
      <w:r w:rsidR="009C772D">
        <w:rPr>
          <w:rFonts w:ascii="Times New Roman" w:hAnsi="Times New Roman"/>
        </w:rPr>
        <w:t>d</w:t>
      </w:r>
      <w:r w:rsidRPr="00EB468C">
        <w:rPr>
          <w:rFonts w:ascii="Times New Roman" w:hAnsi="Times New Roman"/>
        </w:rPr>
        <w:t>es missions</w:t>
      </w:r>
      <w:r w:rsidRPr="00EB468C">
        <w:rPr>
          <w:rFonts w:ascii="Times New Roman" w:hAnsi="Times New Roman"/>
          <w:b/>
        </w:rPr>
        <w:t xml:space="preserve"> </w:t>
      </w:r>
      <w:r w:rsidRPr="00EB468C">
        <w:rPr>
          <w:rFonts w:ascii="Times New Roman" w:hAnsi="Times New Roman"/>
        </w:rPr>
        <w:t>: préparation de l’agenda, rédaction des courriers d’annonce de mission, prise de rendez-vous, préparation des comptes rendus de</w:t>
      </w:r>
      <w:r>
        <w:rPr>
          <w:rFonts w:ascii="Times New Roman" w:hAnsi="Times New Roman"/>
        </w:rPr>
        <w:t xml:space="preserve"> missions. </w:t>
      </w:r>
    </w:p>
    <w:p w14:paraId="4310EC7C" w14:textId="77777777" w:rsidR="00D86ABF" w:rsidRPr="009C155D" w:rsidRDefault="00D86ABF" w:rsidP="009C155D">
      <w:pPr>
        <w:spacing w:line="240" w:lineRule="auto"/>
        <w:jc w:val="both"/>
        <w:rPr>
          <w:color w:val="222222"/>
          <w:sz w:val="24"/>
        </w:rPr>
      </w:pPr>
    </w:p>
    <w:p w14:paraId="7B4D3719" w14:textId="16D48DEE" w:rsidR="00D86ABF" w:rsidRPr="00EB468C" w:rsidRDefault="00D86ABF" w:rsidP="00EB468C">
      <w:pPr>
        <w:pStyle w:val="Titre2"/>
        <w:numPr>
          <w:ilvl w:val="0"/>
          <w:numId w:val="0"/>
        </w:numPr>
        <w:spacing w:before="0"/>
        <w:rPr>
          <w:b/>
          <w:i w:val="0"/>
          <w:color w:val="auto"/>
          <w:sz w:val="22"/>
          <w:szCs w:val="22"/>
          <w:u w:val="single"/>
        </w:rPr>
      </w:pPr>
      <w:r w:rsidRPr="00EB468C">
        <w:rPr>
          <w:b/>
          <w:i w:val="0"/>
          <w:color w:val="auto"/>
          <w:sz w:val="22"/>
          <w:szCs w:val="22"/>
          <w:u w:val="single"/>
        </w:rPr>
        <w:t xml:space="preserve">Résultats attendus </w:t>
      </w:r>
    </w:p>
    <w:p w14:paraId="5C47A30E" w14:textId="77777777" w:rsidR="00D86ABF" w:rsidRPr="00EB468C" w:rsidRDefault="00D86ABF" w:rsidP="00D86ABF">
      <w:pPr>
        <w:spacing w:line="240" w:lineRule="auto"/>
        <w:contextualSpacing/>
        <w:jc w:val="both"/>
        <w:rPr>
          <w:color w:val="222222"/>
          <w:sz w:val="22"/>
          <w:szCs w:val="22"/>
        </w:rPr>
      </w:pPr>
    </w:p>
    <w:p w14:paraId="06A2F378" w14:textId="21CD9AB8" w:rsidR="00BF0241" w:rsidRDefault="0015069A" w:rsidP="00BF0241">
      <w:pPr>
        <w:pStyle w:val="Paragraphedeliste"/>
        <w:numPr>
          <w:ilvl w:val="1"/>
          <w:numId w:val="33"/>
        </w:numPr>
        <w:spacing w:after="0" w:line="240" w:lineRule="auto"/>
        <w:ind w:left="993" w:hanging="357"/>
        <w:jc w:val="both"/>
        <w:rPr>
          <w:rFonts w:ascii="Times New Roman" w:eastAsia="MS Mincho" w:hAnsi="Times New Roman"/>
        </w:rPr>
      </w:pPr>
      <w:r w:rsidRPr="00EB468C">
        <w:rPr>
          <w:rFonts w:ascii="Times New Roman" w:eastAsia="Times New Roman" w:hAnsi="Times New Roman"/>
          <w:b/>
          <w:color w:val="222222"/>
          <w:lang w:eastAsia="fr-FR"/>
        </w:rPr>
        <w:t>Résultat 1 : le METFP</w:t>
      </w:r>
      <w:r w:rsidR="005347A5" w:rsidRPr="00EB468C">
        <w:rPr>
          <w:rFonts w:ascii="Times New Roman" w:eastAsia="Times New Roman" w:hAnsi="Times New Roman"/>
          <w:b/>
          <w:color w:val="222222"/>
          <w:lang w:eastAsia="fr-FR"/>
        </w:rPr>
        <w:t>,</w:t>
      </w:r>
      <w:r w:rsidRPr="00EB468C">
        <w:rPr>
          <w:rFonts w:ascii="Times New Roman" w:eastAsia="Times New Roman" w:hAnsi="Times New Roman"/>
          <w:b/>
          <w:color w:val="222222"/>
          <w:lang w:eastAsia="fr-FR"/>
        </w:rPr>
        <w:t xml:space="preserve"> y compris </w:t>
      </w:r>
      <w:r w:rsidR="00DC31D6" w:rsidRPr="00EB468C">
        <w:rPr>
          <w:rFonts w:ascii="Times New Roman" w:eastAsia="Times New Roman" w:hAnsi="Times New Roman"/>
          <w:b/>
          <w:color w:val="222222"/>
          <w:lang w:eastAsia="fr-FR"/>
        </w:rPr>
        <w:t xml:space="preserve">ses </w:t>
      </w:r>
      <w:r w:rsidRPr="00EB468C">
        <w:rPr>
          <w:rFonts w:ascii="Times New Roman" w:eastAsia="Times New Roman" w:hAnsi="Times New Roman"/>
          <w:b/>
          <w:color w:val="222222"/>
          <w:lang w:eastAsia="fr-FR"/>
        </w:rPr>
        <w:t>directions régionales</w:t>
      </w:r>
      <w:r w:rsidR="005347A5" w:rsidRPr="00EB468C">
        <w:rPr>
          <w:rFonts w:ascii="Times New Roman" w:eastAsia="Times New Roman" w:hAnsi="Times New Roman"/>
          <w:b/>
          <w:color w:val="222222"/>
          <w:lang w:eastAsia="fr-FR"/>
        </w:rPr>
        <w:t>,</w:t>
      </w:r>
      <w:r w:rsidRPr="00EB468C">
        <w:rPr>
          <w:rFonts w:ascii="Times New Roman" w:eastAsia="Times New Roman" w:hAnsi="Times New Roman"/>
          <w:b/>
          <w:color w:val="222222"/>
          <w:lang w:eastAsia="fr-FR"/>
        </w:rPr>
        <w:t xml:space="preserve"> </w:t>
      </w:r>
      <w:r w:rsidR="00005BD4">
        <w:rPr>
          <w:rFonts w:ascii="Times New Roman" w:eastAsia="Times New Roman" w:hAnsi="Times New Roman"/>
          <w:b/>
          <w:color w:val="222222"/>
          <w:lang w:eastAsia="fr-FR"/>
        </w:rPr>
        <w:t xml:space="preserve">est accompagné </w:t>
      </w:r>
      <w:r w:rsidR="002D2797">
        <w:rPr>
          <w:rFonts w:ascii="Times New Roman" w:eastAsia="Times New Roman" w:hAnsi="Times New Roman"/>
          <w:b/>
          <w:color w:val="222222"/>
          <w:lang w:eastAsia="fr-FR"/>
        </w:rPr>
        <w:t>dans l’exécution</w:t>
      </w:r>
      <w:r w:rsidR="00005BD4">
        <w:rPr>
          <w:rFonts w:ascii="Times New Roman" w:eastAsia="Times New Roman" w:hAnsi="Times New Roman"/>
          <w:b/>
          <w:color w:val="222222"/>
          <w:lang w:eastAsia="fr-FR"/>
        </w:rPr>
        <w:t xml:space="preserve"> des activités du FCE</w:t>
      </w:r>
      <w:r w:rsidR="0020206C">
        <w:rPr>
          <w:rFonts w:ascii="Times New Roman" w:eastAsia="Times New Roman" w:hAnsi="Times New Roman"/>
          <w:b/>
          <w:color w:val="222222"/>
          <w:lang w:eastAsia="fr-FR"/>
        </w:rPr>
        <w:t xml:space="preserve"> et de l’Action </w:t>
      </w:r>
      <w:r w:rsidRPr="00EB468C">
        <w:rPr>
          <w:rFonts w:ascii="Times New Roman" w:eastAsia="Times New Roman" w:hAnsi="Times New Roman"/>
          <w:color w:val="222222"/>
          <w:lang w:eastAsia="fr-FR"/>
        </w:rPr>
        <w:t>d</w:t>
      </w:r>
      <w:r w:rsidR="00005BD4">
        <w:rPr>
          <w:rFonts w:ascii="Times New Roman" w:eastAsia="Times New Roman" w:hAnsi="Times New Roman"/>
          <w:color w:val="222222"/>
          <w:lang w:eastAsia="fr-FR"/>
        </w:rPr>
        <w:t xml:space="preserve">ans les délais </w:t>
      </w:r>
      <w:r w:rsidR="002D2797">
        <w:rPr>
          <w:rFonts w:ascii="Times New Roman" w:eastAsia="Times New Roman" w:hAnsi="Times New Roman"/>
          <w:color w:val="222222"/>
          <w:lang w:eastAsia="fr-FR"/>
        </w:rPr>
        <w:t xml:space="preserve">prévus et produisant </w:t>
      </w:r>
      <w:r w:rsidR="00005BD4">
        <w:rPr>
          <w:rFonts w:ascii="Times New Roman" w:eastAsia="Times New Roman" w:hAnsi="Times New Roman"/>
          <w:color w:val="222222"/>
          <w:lang w:eastAsia="fr-FR"/>
        </w:rPr>
        <w:t xml:space="preserve">les résultats escomptés  </w:t>
      </w:r>
      <w:r w:rsidRPr="00EB468C">
        <w:rPr>
          <w:rFonts w:ascii="Times New Roman" w:eastAsia="Times New Roman" w:hAnsi="Times New Roman"/>
          <w:color w:val="222222"/>
          <w:lang w:eastAsia="fr-FR"/>
        </w:rPr>
        <w:t>Il est attendu de l’expert.e</w:t>
      </w:r>
      <w:r w:rsidR="00D30EB2" w:rsidRPr="00EB468C">
        <w:rPr>
          <w:rFonts w:ascii="Times New Roman" w:eastAsia="Times New Roman" w:hAnsi="Times New Roman"/>
          <w:color w:val="222222"/>
          <w:lang w:eastAsia="fr-FR"/>
        </w:rPr>
        <w:t xml:space="preserve"> d’assurer </w:t>
      </w:r>
      <w:r w:rsidRPr="00EB468C">
        <w:rPr>
          <w:rFonts w:ascii="Times New Roman" w:eastAsia="Times New Roman" w:hAnsi="Times New Roman"/>
          <w:color w:val="222222"/>
          <w:lang w:eastAsia="fr-FR"/>
        </w:rPr>
        <w:t xml:space="preserve">un dialogue étroit avec les ministères sur </w:t>
      </w:r>
      <w:r w:rsidR="009320C1">
        <w:rPr>
          <w:rFonts w:ascii="Times New Roman" w:eastAsia="Times New Roman" w:hAnsi="Times New Roman"/>
          <w:color w:val="222222"/>
          <w:lang w:eastAsia="fr-FR"/>
        </w:rPr>
        <w:t>la planification d</w:t>
      </w:r>
      <w:r w:rsidRPr="00EB468C">
        <w:rPr>
          <w:rFonts w:ascii="Times New Roman" w:eastAsia="Times New Roman" w:hAnsi="Times New Roman"/>
          <w:color w:val="222222"/>
          <w:lang w:eastAsia="fr-FR"/>
        </w:rPr>
        <w:t>es activités</w:t>
      </w:r>
      <w:r w:rsidR="00005BD4" w:rsidRPr="00EB468C">
        <w:rPr>
          <w:rStyle w:val="Appelnotedebasdep"/>
          <w:rFonts w:ascii="Times New Roman" w:eastAsia="Times New Roman" w:hAnsi="Times New Roman"/>
          <w:color w:val="222222"/>
          <w:vertAlign w:val="superscript"/>
          <w:lang w:eastAsia="fr-FR"/>
        </w:rPr>
        <w:footnoteReference w:id="6"/>
      </w:r>
      <w:r w:rsidR="009320C1">
        <w:rPr>
          <w:rFonts w:ascii="Times New Roman" w:eastAsia="Times New Roman" w:hAnsi="Times New Roman"/>
          <w:color w:val="222222"/>
          <w:lang w:eastAsia="fr-FR"/>
        </w:rPr>
        <w:t xml:space="preserve">, de </w:t>
      </w:r>
      <w:r w:rsidR="00005BD4">
        <w:rPr>
          <w:rFonts w:ascii="Times New Roman" w:eastAsia="Times New Roman" w:hAnsi="Times New Roman"/>
          <w:color w:val="222222"/>
          <w:lang w:eastAsia="fr-FR"/>
        </w:rPr>
        <w:t xml:space="preserve">veiller </w:t>
      </w:r>
      <w:r w:rsidRPr="00EB468C">
        <w:rPr>
          <w:rFonts w:ascii="Times New Roman" w:eastAsia="Times New Roman" w:hAnsi="Times New Roman"/>
          <w:color w:val="222222"/>
          <w:lang w:eastAsia="fr-FR"/>
        </w:rPr>
        <w:t xml:space="preserve">à identifier les points de blocage à lever </w:t>
      </w:r>
      <w:r w:rsidR="00AD2CE9">
        <w:rPr>
          <w:rFonts w:ascii="Times New Roman" w:eastAsia="Times New Roman" w:hAnsi="Times New Roman"/>
          <w:color w:val="222222"/>
          <w:lang w:eastAsia="fr-FR"/>
        </w:rPr>
        <w:t xml:space="preserve">durant l’exécution </w:t>
      </w:r>
      <w:r w:rsidRPr="00EB468C">
        <w:rPr>
          <w:rFonts w:ascii="Times New Roman" w:eastAsia="Times New Roman" w:hAnsi="Times New Roman"/>
          <w:color w:val="222222"/>
          <w:lang w:eastAsia="fr-FR"/>
        </w:rPr>
        <w:t>et</w:t>
      </w:r>
      <w:r w:rsidR="00AD2CE9">
        <w:rPr>
          <w:rFonts w:ascii="Times New Roman" w:eastAsia="Times New Roman" w:hAnsi="Times New Roman"/>
          <w:color w:val="222222"/>
          <w:lang w:eastAsia="fr-FR"/>
        </w:rPr>
        <w:t xml:space="preserve"> de</w:t>
      </w:r>
      <w:r w:rsidRPr="00EB468C">
        <w:rPr>
          <w:rFonts w:ascii="Times New Roman" w:eastAsia="Times New Roman" w:hAnsi="Times New Roman"/>
          <w:color w:val="222222"/>
          <w:lang w:eastAsia="fr-FR"/>
        </w:rPr>
        <w:t xml:space="preserve"> proposer</w:t>
      </w:r>
      <w:r w:rsidR="002D2797">
        <w:rPr>
          <w:rFonts w:ascii="Times New Roman" w:eastAsia="Times New Roman" w:hAnsi="Times New Roman"/>
          <w:color w:val="222222"/>
          <w:lang w:eastAsia="fr-FR"/>
        </w:rPr>
        <w:t xml:space="preserve"> solutions</w:t>
      </w:r>
      <w:r w:rsidR="00AD2CE9">
        <w:rPr>
          <w:rFonts w:ascii="Times New Roman" w:eastAsia="MS Mincho" w:hAnsi="Times New Roman"/>
        </w:rPr>
        <w:t>.</w:t>
      </w:r>
    </w:p>
    <w:p w14:paraId="05932734" w14:textId="1AF5EFA5" w:rsidR="00AD2CE9" w:rsidRDefault="00AD2CE9" w:rsidP="0022555B">
      <w:pPr>
        <w:pStyle w:val="Paragraphedeliste"/>
        <w:numPr>
          <w:ilvl w:val="1"/>
          <w:numId w:val="61"/>
        </w:numPr>
        <w:spacing w:after="0" w:line="240" w:lineRule="auto"/>
        <w:jc w:val="both"/>
        <w:rPr>
          <w:rFonts w:ascii="Times New Roman" w:eastAsia="MS Mincho" w:hAnsi="Times New Roman"/>
        </w:rPr>
      </w:pPr>
      <w:r>
        <w:rPr>
          <w:rFonts w:ascii="Times New Roman" w:eastAsia="MS Mincho" w:hAnsi="Times New Roman"/>
        </w:rPr>
        <w:t>L’</w:t>
      </w:r>
      <w:proofErr w:type="spellStart"/>
      <w:r>
        <w:rPr>
          <w:rFonts w:ascii="Times New Roman" w:eastAsia="MS Mincho" w:hAnsi="Times New Roman"/>
        </w:rPr>
        <w:t>expert.e</w:t>
      </w:r>
      <w:proofErr w:type="spellEnd"/>
      <w:r>
        <w:rPr>
          <w:rFonts w:ascii="Times New Roman" w:eastAsia="MS Mincho" w:hAnsi="Times New Roman"/>
        </w:rPr>
        <w:t xml:space="preserve"> c</w:t>
      </w:r>
      <w:r w:rsidR="00BF0241" w:rsidRPr="00E60103">
        <w:rPr>
          <w:rFonts w:ascii="Times New Roman" w:eastAsia="MS Mincho" w:hAnsi="Times New Roman"/>
        </w:rPr>
        <w:t>oordonner</w:t>
      </w:r>
      <w:r>
        <w:rPr>
          <w:rFonts w:ascii="Times New Roman" w:eastAsia="MS Mincho" w:hAnsi="Times New Roman"/>
        </w:rPr>
        <w:t>a</w:t>
      </w:r>
      <w:r w:rsidR="00BF0241" w:rsidRPr="00E60103">
        <w:rPr>
          <w:rFonts w:ascii="Times New Roman" w:eastAsia="MS Mincho" w:hAnsi="Times New Roman"/>
        </w:rPr>
        <w:t xml:space="preserve"> et faciliter</w:t>
      </w:r>
      <w:r>
        <w:rPr>
          <w:rFonts w:ascii="Times New Roman" w:eastAsia="MS Mincho" w:hAnsi="Times New Roman"/>
        </w:rPr>
        <w:t>a</w:t>
      </w:r>
      <w:r w:rsidR="00BF0241" w:rsidRPr="00E60103">
        <w:rPr>
          <w:rFonts w:ascii="Times New Roman" w:eastAsia="MS Mincho" w:hAnsi="Times New Roman"/>
        </w:rPr>
        <w:t xml:space="preserve"> la planification et l’organisation des discussions budgétaires. </w:t>
      </w:r>
      <w:r>
        <w:rPr>
          <w:rFonts w:ascii="Times New Roman" w:eastAsia="MS Mincho" w:hAnsi="Times New Roman"/>
        </w:rPr>
        <w:t>Il/elle i</w:t>
      </w:r>
      <w:r w:rsidRPr="00E60103">
        <w:rPr>
          <w:rFonts w:ascii="Times New Roman" w:eastAsia="MS Mincho" w:hAnsi="Times New Roman"/>
        </w:rPr>
        <w:t>nitier</w:t>
      </w:r>
      <w:r>
        <w:rPr>
          <w:rFonts w:ascii="Times New Roman" w:eastAsia="MS Mincho" w:hAnsi="Times New Roman"/>
        </w:rPr>
        <w:t>a</w:t>
      </w:r>
      <w:r w:rsidRPr="00E60103">
        <w:rPr>
          <w:rFonts w:ascii="Times New Roman" w:eastAsia="MS Mincho" w:hAnsi="Times New Roman"/>
        </w:rPr>
        <w:t xml:space="preserve"> l</w:t>
      </w:r>
      <w:r>
        <w:rPr>
          <w:rFonts w:ascii="Times New Roman" w:eastAsia="MS Mincho" w:hAnsi="Times New Roman"/>
        </w:rPr>
        <w:t xml:space="preserve">a rédaction </w:t>
      </w:r>
      <w:r w:rsidRPr="00E60103">
        <w:rPr>
          <w:rFonts w:ascii="Times New Roman" w:eastAsia="MS Mincho" w:hAnsi="Times New Roman"/>
        </w:rPr>
        <w:t xml:space="preserve">et </w:t>
      </w:r>
      <w:r>
        <w:rPr>
          <w:rFonts w:ascii="Times New Roman" w:eastAsia="MS Mincho" w:hAnsi="Times New Roman"/>
        </w:rPr>
        <w:t xml:space="preserve">assurera </w:t>
      </w:r>
      <w:r w:rsidRPr="00E60103">
        <w:rPr>
          <w:rFonts w:ascii="Times New Roman" w:eastAsia="MS Mincho" w:hAnsi="Times New Roman"/>
        </w:rPr>
        <w:t>la finalisation</w:t>
      </w:r>
      <w:r>
        <w:rPr>
          <w:rFonts w:ascii="Times New Roman" w:eastAsia="MS Mincho" w:hAnsi="Times New Roman"/>
        </w:rPr>
        <w:t>,</w:t>
      </w:r>
      <w:r w:rsidRPr="00E60103">
        <w:rPr>
          <w:rFonts w:ascii="Times New Roman" w:eastAsia="MS Mincho" w:hAnsi="Times New Roman"/>
        </w:rPr>
        <w:t xml:space="preserve"> dans les délais prévus par le manuel, </w:t>
      </w:r>
      <w:r>
        <w:rPr>
          <w:rFonts w:ascii="Times New Roman" w:eastAsia="MS Mincho" w:hAnsi="Times New Roman"/>
        </w:rPr>
        <w:t xml:space="preserve">de </w:t>
      </w:r>
      <w:r w:rsidRPr="00E60103">
        <w:rPr>
          <w:rFonts w:ascii="Times New Roman" w:eastAsia="MS Mincho" w:hAnsi="Times New Roman"/>
        </w:rPr>
        <w:t xml:space="preserve">la lettre de cadrage </w:t>
      </w:r>
      <w:r>
        <w:rPr>
          <w:rFonts w:ascii="Times New Roman" w:eastAsia="MS Mincho" w:hAnsi="Times New Roman"/>
        </w:rPr>
        <w:t xml:space="preserve">annuelle </w:t>
      </w:r>
      <w:r w:rsidRPr="00E60103">
        <w:rPr>
          <w:rFonts w:ascii="Times New Roman" w:eastAsia="MS Mincho" w:hAnsi="Times New Roman"/>
        </w:rPr>
        <w:t>du FCE</w:t>
      </w:r>
      <w:r>
        <w:rPr>
          <w:rFonts w:ascii="Times New Roman" w:eastAsia="MS Mincho" w:hAnsi="Times New Roman"/>
        </w:rPr>
        <w:t xml:space="preserve"> </w:t>
      </w:r>
      <w:r w:rsidRPr="00E60103">
        <w:rPr>
          <w:rFonts w:ascii="Times New Roman" w:eastAsia="MS Mincho" w:hAnsi="Times New Roman"/>
        </w:rPr>
        <w:t>conformes aux priorités</w:t>
      </w:r>
      <w:r>
        <w:rPr>
          <w:rFonts w:ascii="Times New Roman" w:eastAsia="MS Mincho" w:hAnsi="Times New Roman"/>
        </w:rPr>
        <w:t xml:space="preserve"> sectorielles ;</w:t>
      </w:r>
    </w:p>
    <w:p w14:paraId="346305A8" w14:textId="47FB40A6" w:rsidR="00BF0241" w:rsidRPr="00AD2CE9" w:rsidRDefault="00AD2CE9" w:rsidP="0022555B">
      <w:pPr>
        <w:pStyle w:val="Paragraphedeliste"/>
        <w:numPr>
          <w:ilvl w:val="1"/>
          <w:numId w:val="61"/>
        </w:numPr>
        <w:spacing w:after="0" w:line="240" w:lineRule="auto"/>
        <w:jc w:val="both"/>
        <w:rPr>
          <w:rFonts w:ascii="Times New Roman" w:eastAsia="MS Mincho" w:hAnsi="Times New Roman"/>
        </w:rPr>
      </w:pPr>
      <w:r w:rsidRPr="00AD2CE9">
        <w:rPr>
          <w:rFonts w:ascii="Times New Roman" w:eastAsia="MS Mincho" w:hAnsi="Times New Roman"/>
        </w:rPr>
        <w:t>L’</w:t>
      </w:r>
      <w:proofErr w:type="spellStart"/>
      <w:r w:rsidRPr="00AD2CE9">
        <w:rPr>
          <w:rFonts w:ascii="Times New Roman" w:eastAsia="MS Mincho" w:hAnsi="Times New Roman"/>
        </w:rPr>
        <w:t>expert.e</w:t>
      </w:r>
      <w:proofErr w:type="spellEnd"/>
      <w:r w:rsidRPr="00AD2CE9">
        <w:rPr>
          <w:rFonts w:ascii="Times New Roman" w:eastAsia="MS Mincho" w:hAnsi="Times New Roman"/>
        </w:rPr>
        <w:t xml:space="preserve"> r</w:t>
      </w:r>
      <w:r w:rsidR="00BF0241" w:rsidRPr="00AD2CE9">
        <w:rPr>
          <w:rFonts w:ascii="Times New Roman" w:eastAsia="MS Mincho" w:hAnsi="Times New Roman"/>
        </w:rPr>
        <w:t>éaliser</w:t>
      </w:r>
      <w:r w:rsidRPr="00AD2CE9">
        <w:rPr>
          <w:rFonts w:ascii="Times New Roman" w:eastAsia="MS Mincho" w:hAnsi="Times New Roman"/>
        </w:rPr>
        <w:t>a</w:t>
      </w:r>
      <w:r w:rsidR="00BF0241" w:rsidRPr="00AD2CE9">
        <w:rPr>
          <w:rFonts w:ascii="Times New Roman" w:eastAsia="MS Mincho" w:hAnsi="Times New Roman"/>
        </w:rPr>
        <w:t xml:space="preserve"> une première analyse de qualité des documents (plan d’activité, </w:t>
      </w:r>
      <w:r w:rsidRPr="00AD2CE9">
        <w:rPr>
          <w:rFonts w:ascii="Times New Roman" w:eastAsia="MS Mincho" w:hAnsi="Times New Roman"/>
        </w:rPr>
        <w:t>plans de passation des marchés</w:t>
      </w:r>
      <w:r w:rsidR="00BF0241" w:rsidRPr="00AD2CE9">
        <w:rPr>
          <w:rFonts w:ascii="Times New Roman" w:eastAsia="MS Mincho" w:hAnsi="Times New Roman"/>
        </w:rPr>
        <w:t xml:space="preserve">, plans de trésorerie...) pour préparer les avis de non objection de l’AFD. </w:t>
      </w:r>
      <w:r w:rsidRPr="00AD2CE9">
        <w:rPr>
          <w:rFonts w:ascii="Times New Roman" w:eastAsia="MS Mincho" w:hAnsi="Times New Roman"/>
        </w:rPr>
        <w:t>Un des principaux axes serait l’accélération de la délivrance de ces avis pour aboutir à une recommandation argumentée d’un avis favorable, objection, avec réserves ou recommandations ;</w:t>
      </w:r>
    </w:p>
    <w:p w14:paraId="55DCC74F" w14:textId="31D0EAAC" w:rsidR="00BF0241" w:rsidRPr="0022555B" w:rsidRDefault="00AD2CE9" w:rsidP="0022555B">
      <w:pPr>
        <w:pStyle w:val="Paragraphedeliste"/>
        <w:numPr>
          <w:ilvl w:val="1"/>
          <w:numId w:val="61"/>
        </w:numPr>
        <w:spacing w:after="0" w:line="240" w:lineRule="auto"/>
        <w:jc w:val="both"/>
        <w:rPr>
          <w:rFonts w:ascii="Times New Roman" w:hAnsi="Times New Roman"/>
        </w:rPr>
      </w:pPr>
      <w:r>
        <w:rPr>
          <w:rFonts w:ascii="Times New Roman" w:hAnsi="Times New Roman"/>
        </w:rPr>
        <w:t>L’</w:t>
      </w:r>
      <w:proofErr w:type="spellStart"/>
      <w:r>
        <w:rPr>
          <w:rFonts w:ascii="Times New Roman" w:hAnsi="Times New Roman"/>
        </w:rPr>
        <w:t>expert.e</w:t>
      </w:r>
      <w:proofErr w:type="spellEnd"/>
      <w:r>
        <w:rPr>
          <w:rFonts w:ascii="Times New Roman" w:hAnsi="Times New Roman"/>
        </w:rPr>
        <w:t xml:space="preserve"> r</w:t>
      </w:r>
      <w:r w:rsidR="00BF0241">
        <w:rPr>
          <w:rFonts w:ascii="Times New Roman" w:hAnsi="Times New Roman"/>
        </w:rPr>
        <w:t>éaliser</w:t>
      </w:r>
      <w:r>
        <w:rPr>
          <w:rFonts w:ascii="Times New Roman" w:hAnsi="Times New Roman"/>
        </w:rPr>
        <w:t>a</w:t>
      </w:r>
      <w:r w:rsidR="00BF0241">
        <w:rPr>
          <w:rFonts w:ascii="Times New Roman" w:hAnsi="Times New Roman"/>
        </w:rPr>
        <w:t xml:space="preserve"> une veille active de l’exécution du FCE</w:t>
      </w:r>
      <w:r w:rsidR="00C027CD">
        <w:rPr>
          <w:rFonts w:ascii="Times New Roman" w:hAnsi="Times New Roman"/>
        </w:rPr>
        <w:t xml:space="preserve"> </w:t>
      </w:r>
      <w:r w:rsidR="00BF0241">
        <w:rPr>
          <w:rFonts w:ascii="Times New Roman" w:hAnsi="Times New Roman"/>
        </w:rPr>
        <w:t>: i</w:t>
      </w:r>
      <w:r w:rsidR="00BF0241" w:rsidRPr="00D5583A">
        <w:rPr>
          <w:rFonts w:ascii="Times New Roman" w:hAnsi="Times New Roman"/>
        </w:rPr>
        <w:t xml:space="preserve">dentifier les potentiels blocages et </w:t>
      </w:r>
      <w:r w:rsidR="00BF0241">
        <w:rPr>
          <w:rFonts w:ascii="Times New Roman" w:hAnsi="Times New Roman"/>
        </w:rPr>
        <w:t xml:space="preserve">les retards, proposer des solutions et des </w:t>
      </w:r>
      <w:r w:rsidR="00BF0241" w:rsidRPr="00D5583A">
        <w:rPr>
          <w:rFonts w:ascii="Times New Roman" w:hAnsi="Times New Roman"/>
        </w:rPr>
        <w:t>mesures d’accélération</w:t>
      </w:r>
      <w:r w:rsidR="00C027CD">
        <w:rPr>
          <w:rFonts w:ascii="Times New Roman" w:hAnsi="Times New Roman"/>
        </w:rPr>
        <w:t> ;</w:t>
      </w:r>
    </w:p>
    <w:p w14:paraId="03314422" w14:textId="7F4A4318" w:rsidR="00BF0241" w:rsidRDefault="00C027CD" w:rsidP="0022555B">
      <w:pPr>
        <w:pStyle w:val="Paragraphedeliste"/>
        <w:numPr>
          <w:ilvl w:val="1"/>
          <w:numId w:val="61"/>
        </w:numPr>
        <w:spacing w:after="0" w:line="240" w:lineRule="auto"/>
        <w:jc w:val="both"/>
        <w:rPr>
          <w:rFonts w:ascii="Times New Roman" w:eastAsia="MS Mincho" w:hAnsi="Times New Roman"/>
        </w:rPr>
      </w:pPr>
      <w:r>
        <w:rPr>
          <w:rFonts w:ascii="Times New Roman" w:eastAsia="MS Mincho" w:hAnsi="Times New Roman"/>
        </w:rPr>
        <w:t>L’</w:t>
      </w:r>
      <w:proofErr w:type="spellStart"/>
      <w:r>
        <w:rPr>
          <w:rFonts w:ascii="Times New Roman" w:eastAsia="MS Mincho" w:hAnsi="Times New Roman"/>
        </w:rPr>
        <w:t>expert.e</w:t>
      </w:r>
      <w:proofErr w:type="spellEnd"/>
      <w:r>
        <w:rPr>
          <w:rFonts w:ascii="Times New Roman" w:eastAsia="MS Mincho" w:hAnsi="Times New Roman"/>
        </w:rPr>
        <w:t xml:space="preserve"> a</w:t>
      </w:r>
      <w:r w:rsidR="00BF0241">
        <w:rPr>
          <w:rFonts w:ascii="Times New Roman" w:eastAsia="MS Mincho" w:hAnsi="Times New Roman"/>
        </w:rPr>
        <w:t>pporter</w:t>
      </w:r>
      <w:r>
        <w:rPr>
          <w:rFonts w:ascii="Times New Roman" w:eastAsia="MS Mincho" w:hAnsi="Times New Roman"/>
        </w:rPr>
        <w:t>a</w:t>
      </w:r>
      <w:r w:rsidR="00BF0241">
        <w:rPr>
          <w:rFonts w:ascii="Times New Roman" w:eastAsia="MS Mincho" w:hAnsi="Times New Roman"/>
        </w:rPr>
        <w:t xml:space="preserve"> un appui global à l’exécution des financements : </w:t>
      </w:r>
      <w:r w:rsidR="00BF0241">
        <w:rPr>
          <w:rFonts w:ascii="Times New Roman" w:hAnsi="Times New Roman"/>
          <w:lang w:eastAsia="en-GB"/>
        </w:rPr>
        <w:t>assurer le</w:t>
      </w:r>
      <w:r w:rsidR="00BF0241" w:rsidRPr="003B6A0C">
        <w:rPr>
          <w:rFonts w:ascii="Times New Roman" w:hAnsi="Times New Roman"/>
          <w:lang w:eastAsia="en-GB"/>
        </w:rPr>
        <w:t xml:space="preserve"> resp</w:t>
      </w:r>
      <w:r w:rsidR="00BF0241">
        <w:rPr>
          <w:rFonts w:ascii="Times New Roman" w:hAnsi="Times New Roman"/>
          <w:lang w:eastAsia="en-GB"/>
        </w:rPr>
        <w:t xml:space="preserve">ect des dispositions convenues par les Conventions de financement, le suivi des </w:t>
      </w:r>
      <w:r w:rsidR="00BF0241">
        <w:rPr>
          <w:rFonts w:ascii="Times New Roman" w:eastAsia="MS Mincho" w:hAnsi="Times New Roman"/>
        </w:rPr>
        <w:t xml:space="preserve">versements (levée </w:t>
      </w:r>
      <w:r w:rsidR="00BF0241">
        <w:rPr>
          <w:rFonts w:ascii="Times New Roman" w:eastAsia="MS Mincho" w:hAnsi="Times New Roman"/>
        </w:rPr>
        <w:lastRenderedPageBreak/>
        <w:t>des conditions suspensives), élaboration des</w:t>
      </w:r>
      <w:r>
        <w:rPr>
          <w:rFonts w:ascii="Times New Roman" w:eastAsia="MS Mincho" w:hAnsi="Times New Roman"/>
        </w:rPr>
        <w:t xml:space="preserve"> compte-rendu </w:t>
      </w:r>
      <w:r w:rsidR="00BF0241">
        <w:rPr>
          <w:rFonts w:ascii="Times New Roman" w:eastAsia="MS Mincho" w:hAnsi="Times New Roman"/>
        </w:rPr>
        <w:t xml:space="preserve">des réunions, </w:t>
      </w:r>
      <w:r>
        <w:rPr>
          <w:rFonts w:ascii="Times New Roman" w:eastAsia="MS Mincho" w:hAnsi="Times New Roman"/>
        </w:rPr>
        <w:t xml:space="preserve">la </w:t>
      </w:r>
      <w:r w:rsidR="00BF0241">
        <w:rPr>
          <w:rFonts w:ascii="Times New Roman" w:eastAsia="MS Mincho" w:hAnsi="Times New Roman"/>
        </w:rPr>
        <w:t>préparation des courriers et l’archivage, etc.</w:t>
      </w:r>
      <w:r w:rsidR="00C05B7D">
        <w:rPr>
          <w:rFonts w:ascii="Times New Roman" w:eastAsia="MS Mincho" w:hAnsi="Times New Roman"/>
        </w:rPr>
        <w:t> ;</w:t>
      </w:r>
    </w:p>
    <w:p w14:paraId="2F61C2B2" w14:textId="3CD0F147" w:rsidR="00C05B7D" w:rsidRPr="0022555B" w:rsidRDefault="00C05B7D" w:rsidP="0022555B">
      <w:pPr>
        <w:pStyle w:val="Paragraphedeliste"/>
        <w:numPr>
          <w:ilvl w:val="1"/>
          <w:numId w:val="61"/>
        </w:numPr>
        <w:spacing w:after="0" w:line="240" w:lineRule="auto"/>
        <w:jc w:val="both"/>
        <w:rPr>
          <w:rFonts w:ascii="Times New Roman" w:eastAsia="MS Mincho" w:hAnsi="Times New Roman"/>
        </w:rPr>
      </w:pPr>
      <w:r>
        <w:rPr>
          <w:rFonts w:ascii="Times New Roman" w:eastAsia="MS Mincho" w:hAnsi="Times New Roman"/>
        </w:rPr>
        <w:t>L’</w:t>
      </w:r>
      <w:proofErr w:type="spellStart"/>
      <w:r>
        <w:rPr>
          <w:rFonts w:ascii="Times New Roman" w:eastAsia="MS Mincho" w:hAnsi="Times New Roman"/>
        </w:rPr>
        <w:t>expert.e</w:t>
      </w:r>
      <w:proofErr w:type="spellEnd"/>
      <w:r>
        <w:rPr>
          <w:rFonts w:ascii="Times New Roman" w:eastAsia="MS Mincho" w:hAnsi="Times New Roman"/>
        </w:rPr>
        <w:t xml:space="preserve"> </w:t>
      </w:r>
      <w:r w:rsidRPr="0022555B">
        <w:rPr>
          <w:rFonts w:ascii="Times New Roman" w:eastAsia="MS Mincho" w:hAnsi="Times New Roman"/>
        </w:rPr>
        <w:t>coordonner</w:t>
      </w:r>
      <w:r>
        <w:rPr>
          <w:rFonts w:ascii="Times New Roman" w:eastAsia="MS Mincho" w:hAnsi="Times New Roman"/>
        </w:rPr>
        <w:t>a</w:t>
      </w:r>
      <w:r w:rsidRPr="0022555B">
        <w:rPr>
          <w:rFonts w:ascii="Times New Roman" w:eastAsia="MS Mincho" w:hAnsi="Times New Roman"/>
        </w:rPr>
        <w:t xml:space="preserve"> le suivi de la mise en œuvre des recommandations des audits et </w:t>
      </w:r>
      <w:r>
        <w:rPr>
          <w:rFonts w:ascii="Times New Roman" w:eastAsia="MS Mincho" w:hAnsi="Times New Roman"/>
        </w:rPr>
        <w:t>s’</w:t>
      </w:r>
      <w:r w:rsidRPr="0022555B">
        <w:rPr>
          <w:rFonts w:ascii="Times New Roman" w:eastAsia="MS Mincho" w:hAnsi="Times New Roman"/>
        </w:rPr>
        <w:t>assurer</w:t>
      </w:r>
      <w:r>
        <w:rPr>
          <w:rFonts w:ascii="Times New Roman" w:eastAsia="MS Mincho" w:hAnsi="Times New Roman"/>
        </w:rPr>
        <w:t>a</w:t>
      </w:r>
      <w:r w:rsidRPr="0022555B">
        <w:rPr>
          <w:rFonts w:ascii="Times New Roman" w:eastAsia="MS Mincho" w:hAnsi="Times New Roman"/>
        </w:rPr>
        <w:t xml:space="preserve"> </w:t>
      </w:r>
      <w:r>
        <w:rPr>
          <w:rFonts w:ascii="Times New Roman" w:eastAsia="MS Mincho" w:hAnsi="Times New Roman"/>
        </w:rPr>
        <w:t xml:space="preserve">du </w:t>
      </w:r>
      <w:r w:rsidRPr="0022555B">
        <w:rPr>
          <w:rFonts w:ascii="Times New Roman" w:eastAsia="MS Mincho" w:hAnsi="Times New Roman"/>
        </w:rPr>
        <w:t xml:space="preserve">démarrage des audits externes dans </w:t>
      </w:r>
      <w:r>
        <w:rPr>
          <w:rFonts w:ascii="Times New Roman" w:eastAsia="MS Mincho" w:hAnsi="Times New Roman"/>
        </w:rPr>
        <w:t>les délais prévus par le manuel des procédures ;</w:t>
      </w:r>
    </w:p>
    <w:p w14:paraId="197BCBC3" w14:textId="5EBEDBC3" w:rsidR="005347A5" w:rsidRPr="0022555B" w:rsidRDefault="005347A5" w:rsidP="0022555B">
      <w:pPr>
        <w:pStyle w:val="Paragraphedeliste"/>
        <w:numPr>
          <w:ilvl w:val="1"/>
          <w:numId w:val="61"/>
        </w:numPr>
        <w:spacing w:after="0" w:line="240" w:lineRule="auto"/>
        <w:jc w:val="both"/>
        <w:rPr>
          <w:rFonts w:ascii="Times New Roman" w:eastAsia="MS Mincho" w:hAnsi="Times New Roman"/>
        </w:rPr>
      </w:pPr>
      <w:r w:rsidRPr="0022555B">
        <w:rPr>
          <w:rFonts w:ascii="Times New Roman" w:eastAsia="MS Mincho" w:hAnsi="Times New Roman"/>
        </w:rPr>
        <w:t xml:space="preserve">Un appui particulier est attendu </w:t>
      </w:r>
      <w:r w:rsidR="00005BD4" w:rsidRPr="0022555B">
        <w:rPr>
          <w:rFonts w:ascii="Times New Roman" w:eastAsia="MS Mincho" w:hAnsi="Times New Roman"/>
        </w:rPr>
        <w:t xml:space="preserve">pour </w:t>
      </w:r>
      <w:r w:rsidRPr="0022555B">
        <w:rPr>
          <w:rFonts w:ascii="Times New Roman" w:eastAsia="MS Mincho" w:hAnsi="Times New Roman"/>
        </w:rPr>
        <w:t>l</w:t>
      </w:r>
      <w:r w:rsidR="008F2A92" w:rsidRPr="0022555B">
        <w:rPr>
          <w:rFonts w:ascii="Times New Roman" w:eastAsia="MS Mincho" w:hAnsi="Times New Roman"/>
        </w:rPr>
        <w:t>a mise en place et réalisation</w:t>
      </w:r>
      <w:r w:rsidRPr="0022555B">
        <w:rPr>
          <w:rFonts w:ascii="Times New Roman" w:eastAsia="MS Mincho" w:hAnsi="Times New Roman"/>
        </w:rPr>
        <w:t xml:space="preserve"> des interventions relatives au genre : </w:t>
      </w:r>
      <w:r w:rsidR="002D2797" w:rsidRPr="0022555B">
        <w:rPr>
          <w:rFonts w:ascii="Times New Roman" w:eastAsia="MS Mincho" w:hAnsi="Times New Roman"/>
        </w:rPr>
        <w:t>i) avec l’AT dédié, l’expert suivra le développement du plan d’action du ministère et la mise en œuvre de la feuille de route de l’</w:t>
      </w:r>
      <w:r w:rsidR="0053439A" w:rsidRPr="0022555B">
        <w:rPr>
          <w:rFonts w:ascii="Times New Roman" w:eastAsia="MS Mincho" w:hAnsi="Times New Roman"/>
        </w:rPr>
        <w:t xml:space="preserve">AT, ii) </w:t>
      </w:r>
      <w:r w:rsidRPr="0022555B">
        <w:rPr>
          <w:rFonts w:ascii="Times New Roman" w:eastAsia="MS Mincho" w:hAnsi="Times New Roman"/>
        </w:rPr>
        <w:t xml:space="preserve">des échanges préliminaires ont eu lieu avec l’UNESCO IIEP pour des éventuels appuis en lien avec une budgétisation et planification sensible au genre et des efforts relatifs à l’initiative </w:t>
      </w:r>
      <w:proofErr w:type="spellStart"/>
      <w:r w:rsidRPr="0022555B">
        <w:rPr>
          <w:rFonts w:ascii="Times New Roman" w:eastAsia="MS Mincho" w:hAnsi="Times New Roman"/>
        </w:rPr>
        <w:t>Gender</w:t>
      </w:r>
      <w:proofErr w:type="spellEnd"/>
      <w:r w:rsidRPr="0022555B">
        <w:rPr>
          <w:rFonts w:ascii="Times New Roman" w:eastAsia="MS Mincho" w:hAnsi="Times New Roman"/>
        </w:rPr>
        <w:t xml:space="preserve"> at the Centre (GCI). Le prestataire facilitera le dialogue avec les parties prenantes et suivre l’éventuelle mise en place des accords de collaboration (pouvant être financées via le FCE). </w:t>
      </w:r>
    </w:p>
    <w:p w14:paraId="1EE35AF5" w14:textId="77777777" w:rsidR="009C155D" w:rsidRPr="0022555B" w:rsidRDefault="009C155D" w:rsidP="0022555B">
      <w:pPr>
        <w:pStyle w:val="Paragraphedeliste"/>
        <w:spacing w:after="0" w:line="240" w:lineRule="auto"/>
        <w:ind w:left="1440"/>
        <w:jc w:val="both"/>
        <w:rPr>
          <w:rFonts w:ascii="Times New Roman" w:eastAsia="MS Mincho" w:hAnsi="Times New Roman"/>
        </w:rPr>
      </w:pPr>
    </w:p>
    <w:p w14:paraId="5E8AD1E1" w14:textId="77777777" w:rsidR="00082B71" w:rsidRDefault="007B5EF1" w:rsidP="007B5EF1">
      <w:pPr>
        <w:pStyle w:val="Paragraphedeliste"/>
        <w:numPr>
          <w:ilvl w:val="0"/>
          <w:numId w:val="1"/>
        </w:numPr>
        <w:spacing w:after="0" w:line="240" w:lineRule="auto"/>
        <w:ind w:hanging="357"/>
        <w:contextualSpacing w:val="0"/>
        <w:jc w:val="both"/>
        <w:rPr>
          <w:rFonts w:ascii="Times New Roman" w:eastAsia="Times New Roman" w:hAnsi="Times New Roman"/>
          <w:color w:val="222222"/>
          <w:lang w:eastAsia="fr-FR"/>
        </w:rPr>
      </w:pPr>
      <w:r w:rsidRPr="00EB468C">
        <w:rPr>
          <w:rFonts w:ascii="Times New Roman" w:eastAsia="Times New Roman" w:hAnsi="Times New Roman"/>
          <w:b/>
          <w:color w:val="222222"/>
          <w:lang w:eastAsia="fr-FR"/>
        </w:rPr>
        <w:t xml:space="preserve">Résultat </w:t>
      </w:r>
      <w:r>
        <w:rPr>
          <w:rFonts w:ascii="Times New Roman" w:eastAsia="Times New Roman" w:hAnsi="Times New Roman"/>
          <w:b/>
          <w:color w:val="222222"/>
          <w:lang w:eastAsia="fr-FR"/>
        </w:rPr>
        <w:t>2</w:t>
      </w:r>
      <w:r w:rsidRPr="00EB468C">
        <w:rPr>
          <w:rFonts w:ascii="Times New Roman" w:eastAsia="Times New Roman" w:hAnsi="Times New Roman"/>
          <w:b/>
          <w:color w:val="222222"/>
          <w:lang w:eastAsia="fr-FR"/>
        </w:rPr>
        <w:t> : la redevabilité du financement est assuré</w:t>
      </w:r>
      <w:r>
        <w:rPr>
          <w:rFonts w:ascii="Times New Roman" w:eastAsia="Times New Roman" w:hAnsi="Times New Roman"/>
          <w:b/>
          <w:color w:val="222222"/>
          <w:lang w:eastAsia="fr-FR"/>
        </w:rPr>
        <w:t>e</w:t>
      </w:r>
      <w:r w:rsidRPr="00EB468C">
        <w:rPr>
          <w:rFonts w:ascii="Times New Roman" w:eastAsia="Times New Roman" w:hAnsi="Times New Roman"/>
          <w:color w:val="222222"/>
          <w:lang w:eastAsia="fr-FR"/>
        </w:rPr>
        <w:t xml:space="preserve"> : </w:t>
      </w:r>
    </w:p>
    <w:p w14:paraId="311FBD20" w14:textId="3F0330AB" w:rsidR="004214EF" w:rsidRPr="0022555B" w:rsidRDefault="00082B71" w:rsidP="0022555B">
      <w:pPr>
        <w:pStyle w:val="Paragraphedeliste"/>
        <w:numPr>
          <w:ilvl w:val="1"/>
          <w:numId w:val="1"/>
        </w:numPr>
        <w:spacing w:after="0" w:line="240" w:lineRule="auto"/>
        <w:contextualSpacing w:val="0"/>
        <w:jc w:val="both"/>
        <w:rPr>
          <w:rFonts w:ascii="Times New Roman" w:eastAsia="Times New Roman" w:hAnsi="Times New Roman"/>
          <w:color w:val="222222"/>
          <w:lang w:eastAsia="fr-FR"/>
        </w:rPr>
      </w:pPr>
      <w:r w:rsidRPr="00EB468C">
        <w:rPr>
          <w:rFonts w:ascii="Times New Roman" w:eastAsia="Times New Roman" w:hAnsi="Times New Roman"/>
          <w:color w:val="222222"/>
          <w:lang w:eastAsia="fr-FR"/>
        </w:rPr>
        <w:t>L’</w:t>
      </w:r>
      <w:proofErr w:type="spellStart"/>
      <w:r w:rsidRPr="00EB468C">
        <w:rPr>
          <w:rFonts w:ascii="Times New Roman" w:eastAsia="Times New Roman" w:hAnsi="Times New Roman"/>
          <w:color w:val="222222"/>
          <w:lang w:eastAsia="fr-FR"/>
        </w:rPr>
        <w:t>expert.e</w:t>
      </w:r>
      <w:proofErr w:type="spellEnd"/>
      <w:r w:rsidRPr="00EB468C">
        <w:rPr>
          <w:rFonts w:ascii="Times New Roman" w:eastAsia="Times New Roman" w:hAnsi="Times New Roman"/>
          <w:color w:val="222222"/>
          <w:lang w:eastAsia="fr-FR"/>
        </w:rPr>
        <w:t xml:space="preserve"> prépar</w:t>
      </w:r>
      <w:r w:rsidR="00C027CD">
        <w:rPr>
          <w:rFonts w:ascii="Times New Roman" w:eastAsia="Times New Roman" w:hAnsi="Times New Roman"/>
          <w:color w:val="222222"/>
          <w:lang w:eastAsia="fr-FR"/>
        </w:rPr>
        <w:t>era</w:t>
      </w:r>
      <w:r w:rsidRPr="00EB468C">
        <w:rPr>
          <w:rFonts w:ascii="Times New Roman" w:eastAsia="Times New Roman" w:hAnsi="Times New Roman"/>
          <w:color w:val="222222"/>
          <w:lang w:eastAsia="fr-FR"/>
        </w:rPr>
        <w:t xml:space="preserve"> </w:t>
      </w:r>
      <w:r w:rsidR="00C027CD">
        <w:rPr>
          <w:rFonts w:ascii="Times New Roman" w:eastAsia="Times New Roman" w:hAnsi="Times New Roman"/>
          <w:color w:val="222222"/>
          <w:lang w:eastAsia="fr-FR"/>
        </w:rPr>
        <w:t>l</w:t>
      </w:r>
      <w:r w:rsidRPr="00EB468C">
        <w:rPr>
          <w:rFonts w:ascii="Times New Roman" w:eastAsia="Times New Roman" w:hAnsi="Times New Roman"/>
          <w:color w:val="222222"/>
          <w:lang w:eastAsia="fr-FR"/>
        </w:rPr>
        <w:t xml:space="preserve">es rapports annuels d’exécution technique et financière à transmettre à l’UE. </w:t>
      </w:r>
      <w:r w:rsidRPr="0022555B">
        <w:rPr>
          <w:rFonts w:ascii="Times New Roman" w:eastAsia="Times New Roman" w:hAnsi="Times New Roman"/>
          <w:color w:val="222222"/>
          <w:lang w:eastAsia="fr-FR"/>
        </w:rPr>
        <w:t>L</w:t>
      </w:r>
      <w:r w:rsidR="007B5EF1" w:rsidRPr="0022555B">
        <w:rPr>
          <w:rFonts w:ascii="Times New Roman" w:eastAsia="Times New Roman" w:hAnsi="Times New Roman"/>
          <w:color w:val="222222"/>
          <w:lang w:eastAsia="fr-FR"/>
        </w:rPr>
        <w:t>e cadre logique du financement est</w:t>
      </w:r>
      <w:r w:rsidR="00831ABF">
        <w:rPr>
          <w:rFonts w:ascii="Times New Roman" w:eastAsia="Times New Roman" w:hAnsi="Times New Roman"/>
          <w:color w:val="222222"/>
          <w:lang w:eastAsia="fr-FR"/>
        </w:rPr>
        <w:t xml:space="preserve"> également</w:t>
      </w:r>
      <w:r w:rsidR="007B5EF1" w:rsidRPr="0022555B">
        <w:rPr>
          <w:rFonts w:ascii="Times New Roman" w:eastAsia="Times New Roman" w:hAnsi="Times New Roman"/>
          <w:color w:val="222222"/>
          <w:lang w:eastAsia="fr-FR"/>
        </w:rPr>
        <w:t xml:space="preserve"> suivi et renseigné chaque année. Il est attendu de </w:t>
      </w:r>
      <w:proofErr w:type="gramStart"/>
      <w:r w:rsidR="007B5EF1" w:rsidRPr="0022555B">
        <w:rPr>
          <w:rFonts w:ascii="Times New Roman" w:eastAsia="Times New Roman" w:hAnsi="Times New Roman"/>
          <w:color w:val="222222"/>
          <w:lang w:eastAsia="fr-FR"/>
        </w:rPr>
        <w:t>l’expert.e</w:t>
      </w:r>
      <w:proofErr w:type="gramEnd"/>
      <w:r w:rsidR="007B5EF1" w:rsidRPr="0022555B">
        <w:rPr>
          <w:rFonts w:ascii="Times New Roman" w:eastAsia="Times New Roman" w:hAnsi="Times New Roman"/>
          <w:color w:val="222222"/>
          <w:lang w:eastAsia="fr-FR"/>
        </w:rPr>
        <w:t xml:space="preserve"> qu’il/elle collecte les données auprès des ministères concernés et qu’il/elle analyse les résultats (évolution, tendance, trajectoire). </w:t>
      </w:r>
      <w:r w:rsidRPr="0022555B">
        <w:rPr>
          <w:rFonts w:ascii="Times New Roman" w:eastAsia="Times New Roman" w:hAnsi="Times New Roman"/>
          <w:color w:val="222222"/>
          <w:lang w:eastAsia="fr-FR"/>
        </w:rPr>
        <w:t>La version finale de ces rapports sera validée par la Responsable d’Equipe à Paris avant transmission à l’UE. L’</w:t>
      </w:r>
      <w:proofErr w:type="spellStart"/>
      <w:r w:rsidRPr="0022555B">
        <w:rPr>
          <w:rFonts w:ascii="Times New Roman" w:eastAsia="Times New Roman" w:hAnsi="Times New Roman"/>
          <w:color w:val="222222"/>
          <w:lang w:eastAsia="fr-FR"/>
        </w:rPr>
        <w:t>expert.e</w:t>
      </w:r>
      <w:proofErr w:type="spellEnd"/>
      <w:r w:rsidRPr="0022555B">
        <w:rPr>
          <w:rFonts w:ascii="Times New Roman" w:eastAsia="Times New Roman" w:hAnsi="Times New Roman"/>
          <w:color w:val="222222"/>
          <w:lang w:eastAsia="fr-FR"/>
        </w:rPr>
        <w:t xml:space="preserve"> recueillera le cas échant les questions et remarques de l’UE et rédigera les premiers projets de réponse. Il/elle participera aux réunions régulières de suivi et en rédigera les comptes rendus.</w:t>
      </w:r>
      <w:r w:rsidR="00831ABF">
        <w:rPr>
          <w:rFonts w:ascii="Times New Roman" w:eastAsia="Times New Roman" w:hAnsi="Times New Roman"/>
          <w:color w:val="222222"/>
          <w:lang w:eastAsia="fr-FR"/>
        </w:rPr>
        <w:t xml:space="preserve"> </w:t>
      </w:r>
      <w:r w:rsidR="007B5EF1" w:rsidRPr="0022555B">
        <w:rPr>
          <w:rFonts w:ascii="Times New Roman" w:eastAsia="Times New Roman" w:hAnsi="Times New Roman"/>
          <w:color w:val="222222"/>
          <w:lang w:eastAsia="fr-FR"/>
        </w:rPr>
        <w:t>Les rapports annuels tel que prévu par la convention de financement UE-AFD sont envoyés dans les délais à l’UE</w:t>
      </w:r>
      <w:r w:rsidRPr="0022555B">
        <w:rPr>
          <w:rFonts w:ascii="Times New Roman" w:eastAsia="Times New Roman" w:hAnsi="Times New Roman"/>
          <w:color w:val="222222"/>
          <w:lang w:eastAsia="fr-FR"/>
        </w:rPr>
        <w:t> ;</w:t>
      </w:r>
    </w:p>
    <w:p w14:paraId="67715E4D" w14:textId="00EF01C8" w:rsidR="004214EF" w:rsidRPr="0022555B" w:rsidRDefault="00BB278E">
      <w:pPr>
        <w:pStyle w:val="Paragraphedeliste"/>
        <w:numPr>
          <w:ilvl w:val="1"/>
          <w:numId w:val="1"/>
        </w:numPr>
        <w:spacing w:after="0" w:line="240" w:lineRule="auto"/>
        <w:contextualSpacing w:val="0"/>
        <w:jc w:val="both"/>
        <w:rPr>
          <w:rFonts w:ascii="Times New Roman" w:eastAsia="Times New Roman" w:hAnsi="Times New Roman"/>
          <w:color w:val="222222"/>
          <w:lang w:eastAsia="fr-FR"/>
        </w:rPr>
      </w:pPr>
      <w:r>
        <w:rPr>
          <w:rFonts w:ascii="Times New Roman" w:eastAsia="Times New Roman" w:hAnsi="Times New Roman"/>
          <w:color w:val="222222"/>
          <w:lang w:eastAsia="fr-FR"/>
        </w:rPr>
        <w:t>L’</w:t>
      </w:r>
      <w:proofErr w:type="spellStart"/>
      <w:r>
        <w:rPr>
          <w:rFonts w:ascii="Times New Roman" w:eastAsia="Times New Roman" w:hAnsi="Times New Roman"/>
          <w:color w:val="222222"/>
          <w:lang w:eastAsia="fr-FR"/>
        </w:rPr>
        <w:t>e</w:t>
      </w:r>
      <w:r w:rsidR="004214EF">
        <w:rPr>
          <w:rFonts w:ascii="Times New Roman" w:eastAsia="Times New Roman" w:hAnsi="Times New Roman"/>
          <w:color w:val="222222"/>
          <w:lang w:eastAsia="fr-FR"/>
        </w:rPr>
        <w:t>xpert.e</w:t>
      </w:r>
      <w:proofErr w:type="spellEnd"/>
      <w:r w:rsidR="004214EF">
        <w:rPr>
          <w:rFonts w:ascii="Times New Roman" w:eastAsia="Times New Roman" w:hAnsi="Times New Roman"/>
          <w:color w:val="222222"/>
          <w:lang w:eastAsia="fr-FR"/>
        </w:rPr>
        <w:t xml:space="preserve"> sera </w:t>
      </w:r>
      <w:proofErr w:type="spellStart"/>
      <w:proofErr w:type="gramStart"/>
      <w:r w:rsidR="004214EF">
        <w:rPr>
          <w:rFonts w:ascii="Times New Roman" w:eastAsia="Times New Roman" w:hAnsi="Times New Roman"/>
          <w:color w:val="222222"/>
          <w:lang w:eastAsia="fr-FR"/>
        </w:rPr>
        <w:t>chargé.e</w:t>
      </w:r>
      <w:proofErr w:type="spellEnd"/>
      <w:proofErr w:type="gramEnd"/>
      <w:r w:rsidR="004214EF">
        <w:rPr>
          <w:rFonts w:ascii="Times New Roman" w:eastAsia="Times New Roman" w:hAnsi="Times New Roman"/>
          <w:color w:val="222222"/>
          <w:lang w:eastAsia="fr-FR"/>
        </w:rPr>
        <w:t xml:space="preserve">, en concertation avec la cellule de coordination du GSE et le MEF, de </w:t>
      </w:r>
      <w:r w:rsidR="004214EF" w:rsidRPr="0022555B">
        <w:rPr>
          <w:rFonts w:ascii="Times New Roman" w:eastAsia="Times New Roman" w:hAnsi="Times New Roman"/>
          <w:color w:val="222222"/>
          <w:lang w:eastAsia="fr-FR"/>
        </w:rPr>
        <w:t xml:space="preserve">préparer et </w:t>
      </w:r>
      <w:r w:rsidR="00082B71">
        <w:rPr>
          <w:rFonts w:ascii="Times New Roman" w:eastAsia="Times New Roman" w:hAnsi="Times New Roman"/>
          <w:color w:val="222222"/>
          <w:lang w:eastAsia="fr-FR"/>
        </w:rPr>
        <w:t>d’</w:t>
      </w:r>
      <w:r w:rsidR="004214EF" w:rsidRPr="0022555B">
        <w:rPr>
          <w:rFonts w:ascii="Times New Roman" w:eastAsia="Times New Roman" w:hAnsi="Times New Roman"/>
          <w:color w:val="222222"/>
          <w:lang w:eastAsia="fr-FR"/>
        </w:rPr>
        <w:t>assurer la tenue réglementaire des réunions du C</w:t>
      </w:r>
      <w:r w:rsidR="004214EF">
        <w:rPr>
          <w:rFonts w:ascii="Times New Roman" w:eastAsia="Times New Roman" w:hAnsi="Times New Roman"/>
          <w:color w:val="222222"/>
          <w:lang w:eastAsia="fr-FR"/>
        </w:rPr>
        <w:t xml:space="preserve">omité </w:t>
      </w:r>
      <w:r w:rsidR="004214EF" w:rsidRPr="0022555B">
        <w:rPr>
          <w:rFonts w:ascii="Times New Roman" w:eastAsia="Times New Roman" w:hAnsi="Times New Roman"/>
          <w:color w:val="222222"/>
          <w:lang w:eastAsia="fr-FR"/>
        </w:rPr>
        <w:t>d</w:t>
      </w:r>
      <w:r w:rsidR="004214EF">
        <w:rPr>
          <w:rFonts w:ascii="Times New Roman" w:eastAsia="Times New Roman" w:hAnsi="Times New Roman"/>
          <w:color w:val="222222"/>
          <w:lang w:eastAsia="fr-FR"/>
        </w:rPr>
        <w:t xml:space="preserve">e </w:t>
      </w:r>
      <w:r w:rsidR="004214EF" w:rsidRPr="0022555B">
        <w:rPr>
          <w:rFonts w:ascii="Times New Roman" w:eastAsia="Times New Roman" w:hAnsi="Times New Roman"/>
          <w:color w:val="222222"/>
          <w:lang w:eastAsia="fr-FR"/>
        </w:rPr>
        <w:t>S</w:t>
      </w:r>
      <w:r w:rsidR="004214EF">
        <w:rPr>
          <w:rFonts w:ascii="Times New Roman" w:eastAsia="Times New Roman" w:hAnsi="Times New Roman"/>
          <w:color w:val="222222"/>
          <w:lang w:eastAsia="fr-FR"/>
        </w:rPr>
        <w:t>uivi du FCE</w:t>
      </w:r>
      <w:r w:rsidR="004214EF" w:rsidRPr="0022555B">
        <w:rPr>
          <w:rFonts w:ascii="Times New Roman" w:eastAsia="Times New Roman" w:hAnsi="Times New Roman"/>
          <w:color w:val="222222"/>
          <w:lang w:eastAsia="fr-FR"/>
        </w:rPr>
        <w:t> : élaboration des ODJ et des CR, circulation de l’information (invitation, présentations, rapports, etc.)</w:t>
      </w:r>
      <w:r w:rsidR="00082B71">
        <w:rPr>
          <w:rFonts w:ascii="Times New Roman" w:eastAsia="Times New Roman" w:hAnsi="Times New Roman"/>
          <w:color w:val="222222"/>
          <w:lang w:eastAsia="fr-FR"/>
        </w:rPr>
        <w:t>, suivi des recommandations</w:t>
      </w:r>
      <w:r w:rsidR="004214EF">
        <w:rPr>
          <w:rFonts w:ascii="Times New Roman" w:eastAsia="Times New Roman" w:hAnsi="Times New Roman"/>
          <w:color w:val="222222"/>
          <w:lang w:eastAsia="fr-FR"/>
        </w:rPr>
        <w:t xml:space="preserve"> ; </w:t>
      </w:r>
    </w:p>
    <w:p w14:paraId="5E38F56A" w14:textId="0AF5D9BD" w:rsidR="007B5EF1" w:rsidRPr="00EB468C" w:rsidRDefault="007B5EF1" w:rsidP="00EB468C">
      <w:pPr>
        <w:pStyle w:val="Paragraphedeliste"/>
        <w:numPr>
          <w:ilvl w:val="1"/>
          <w:numId w:val="1"/>
        </w:numPr>
        <w:spacing w:after="0" w:line="240" w:lineRule="auto"/>
        <w:contextualSpacing w:val="0"/>
        <w:jc w:val="both"/>
        <w:rPr>
          <w:rFonts w:ascii="Times New Roman" w:eastAsia="Times New Roman" w:hAnsi="Times New Roman"/>
          <w:color w:val="222222"/>
          <w:lang w:eastAsia="fr-FR"/>
        </w:rPr>
      </w:pPr>
      <w:r>
        <w:rPr>
          <w:rFonts w:ascii="Times New Roman" w:eastAsia="Times New Roman" w:hAnsi="Times New Roman"/>
          <w:color w:val="222222"/>
          <w:lang w:eastAsia="fr-FR"/>
        </w:rPr>
        <w:t>L’</w:t>
      </w:r>
      <w:proofErr w:type="spellStart"/>
      <w:r>
        <w:rPr>
          <w:rFonts w:ascii="Times New Roman" w:eastAsia="Times New Roman" w:hAnsi="Times New Roman"/>
          <w:color w:val="222222"/>
          <w:lang w:eastAsia="fr-FR"/>
        </w:rPr>
        <w:t>expert.e</w:t>
      </w:r>
      <w:proofErr w:type="spellEnd"/>
      <w:r>
        <w:rPr>
          <w:rFonts w:ascii="Times New Roman" w:eastAsia="Times New Roman" w:hAnsi="Times New Roman"/>
          <w:color w:val="222222"/>
          <w:lang w:eastAsia="fr-FR"/>
        </w:rPr>
        <w:t xml:space="preserve"> sera le principal contact pour la liaison avec l’équipe du suivi et évaluation engagée qui serait engagée par l’UE pour le suivi de l’Action</w:t>
      </w:r>
      <w:r w:rsidR="00645767">
        <w:rPr>
          <w:rFonts w:ascii="Times New Roman" w:eastAsia="Times New Roman" w:hAnsi="Times New Roman"/>
          <w:color w:val="222222"/>
          <w:lang w:eastAsia="fr-FR"/>
        </w:rPr>
        <w:t> ;</w:t>
      </w:r>
    </w:p>
    <w:p w14:paraId="4A2BBA59" w14:textId="60702A8E" w:rsidR="007B5EF1" w:rsidRPr="00EB468C" w:rsidRDefault="00831ABF" w:rsidP="00EB468C">
      <w:pPr>
        <w:pStyle w:val="Paragraphedeliste"/>
        <w:numPr>
          <w:ilvl w:val="1"/>
          <w:numId w:val="1"/>
        </w:numPr>
        <w:spacing w:after="0" w:line="240" w:lineRule="auto"/>
        <w:contextualSpacing w:val="0"/>
        <w:jc w:val="both"/>
        <w:rPr>
          <w:rFonts w:ascii="Times New Roman" w:eastAsia="Times New Roman" w:hAnsi="Times New Roman"/>
          <w:color w:val="222222"/>
          <w:lang w:eastAsia="fr-FR"/>
        </w:rPr>
      </w:pPr>
      <w:r>
        <w:rPr>
          <w:rFonts w:ascii="Times New Roman" w:eastAsia="Times New Roman" w:hAnsi="Times New Roman"/>
          <w:color w:val="222222"/>
          <w:lang w:eastAsia="fr-FR"/>
        </w:rPr>
        <w:t>L’</w:t>
      </w:r>
      <w:proofErr w:type="spellStart"/>
      <w:r>
        <w:rPr>
          <w:rFonts w:ascii="Times New Roman" w:eastAsia="Times New Roman" w:hAnsi="Times New Roman"/>
          <w:color w:val="222222"/>
          <w:lang w:eastAsia="fr-FR"/>
        </w:rPr>
        <w:t>expert.e</w:t>
      </w:r>
      <w:proofErr w:type="spellEnd"/>
      <w:r>
        <w:rPr>
          <w:rFonts w:ascii="Times New Roman" w:eastAsia="Times New Roman" w:hAnsi="Times New Roman"/>
          <w:color w:val="222222"/>
          <w:lang w:eastAsia="fr-FR"/>
        </w:rPr>
        <w:t xml:space="preserve"> sera </w:t>
      </w:r>
      <w:proofErr w:type="spellStart"/>
      <w:proofErr w:type="gramStart"/>
      <w:r>
        <w:rPr>
          <w:rFonts w:ascii="Times New Roman" w:eastAsia="Times New Roman" w:hAnsi="Times New Roman"/>
          <w:color w:val="222222"/>
          <w:lang w:eastAsia="fr-FR"/>
        </w:rPr>
        <w:t>chargé.e</w:t>
      </w:r>
      <w:proofErr w:type="spellEnd"/>
      <w:proofErr w:type="gramEnd"/>
      <w:r>
        <w:rPr>
          <w:rFonts w:ascii="Times New Roman" w:eastAsia="Times New Roman" w:hAnsi="Times New Roman"/>
          <w:color w:val="222222"/>
          <w:lang w:eastAsia="fr-FR"/>
        </w:rPr>
        <w:t xml:space="preserve"> de f</w:t>
      </w:r>
      <w:r w:rsidR="007B5EF1" w:rsidRPr="00EB468C">
        <w:rPr>
          <w:rFonts w:ascii="Times New Roman" w:eastAsia="Times New Roman" w:hAnsi="Times New Roman"/>
          <w:color w:val="222222"/>
          <w:lang w:eastAsia="fr-FR"/>
        </w:rPr>
        <w:t>aciliter l’organisation des missions de suivi et de supervision</w:t>
      </w:r>
      <w:r w:rsidR="007B5EF1" w:rsidRPr="00EB468C">
        <w:rPr>
          <w:rFonts w:ascii="Times New Roman" w:eastAsia="Times New Roman" w:hAnsi="Times New Roman"/>
          <w:b/>
          <w:color w:val="222222"/>
          <w:lang w:eastAsia="fr-FR"/>
        </w:rPr>
        <w:t> </w:t>
      </w:r>
      <w:r w:rsidR="007B5EF1" w:rsidRPr="00EB468C">
        <w:rPr>
          <w:rFonts w:ascii="Times New Roman" w:eastAsia="Times New Roman" w:hAnsi="Times New Roman"/>
          <w:color w:val="222222"/>
          <w:lang w:eastAsia="fr-FR"/>
        </w:rPr>
        <w:t xml:space="preserve">: </w:t>
      </w:r>
      <w:r w:rsidR="007B5EF1" w:rsidRPr="00EB468C">
        <w:rPr>
          <w:rFonts w:ascii="Times New Roman" w:hAnsi="Times New Roman"/>
          <w:color w:val="222222"/>
        </w:rPr>
        <w:t xml:space="preserve">(missions de l’agence à Madagascar et missions de supervision du siège de l’AFD, à cet effet, </w:t>
      </w:r>
      <w:r w:rsidR="007B5EF1" w:rsidRPr="00EB468C">
        <w:rPr>
          <w:rFonts w:ascii="Times New Roman" w:eastAsia="Times New Roman" w:hAnsi="Times New Roman"/>
          <w:color w:val="222222"/>
          <w:lang w:eastAsia="fr-FR"/>
        </w:rPr>
        <w:t>l’expert.e produira les projets d’agenda de mission, prendra et gérera les rendez-vous et les déplacements (dispositif sécurité inclus) et produira les comptes rendus des missions de terrain. Le cas échéant, il/elle coordonnera avec la délégation de l’UE à Madagascar la participation de ses représentants aux missions (cas des missions conjointes).</w:t>
      </w:r>
    </w:p>
    <w:p w14:paraId="245D6121" w14:textId="77777777" w:rsidR="007B5EF1" w:rsidRPr="00EB468C" w:rsidRDefault="007B5EF1" w:rsidP="00EB468C">
      <w:pPr>
        <w:pStyle w:val="Paragraphedeliste"/>
        <w:spacing w:after="0" w:line="240" w:lineRule="auto"/>
        <w:ind w:left="714"/>
        <w:contextualSpacing w:val="0"/>
        <w:jc w:val="both"/>
        <w:rPr>
          <w:rFonts w:ascii="Times New Roman" w:eastAsia="Times New Roman" w:hAnsi="Times New Roman"/>
          <w:b/>
          <w:color w:val="222222"/>
          <w:lang w:eastAsia="fr-FR"/>
        </w:rPr>
      </w:pPr>
    </w:p>
    <w:p w14:paraId="2D63EE3B" w14:textId="764D5C86" w:rsidR="007B5EF1" w:rsidRPr="00201079" w:rsidRDefault="007B5EF1" w:rsidP="007B5EF1">
      <w:pPr>
        <w:pStyle w:val="Paragraphedeliste"/>
        <w:numPr>
          <w:ilvl w:val="0"/>
          <w:numId w:val="1"/>
        </w:numPr>
        <w:spacing w:after="0" w:line="240" w:lineRule="auto"/>
        <w:ind w:left="714" w:hanging="357"/>
        <w:contextualSpacing w:val="0"/>
        <w:jc w:val="both"/>
        <w:rPr>
          <w:rFonts w:ascii="Times New Roman" w:eastAsia="Times New Roman" w:hAnsi="Times New Roman"/>
          <w:b/>
          <w:color w:val="222222"/>
          <w:lang w:eastAsia="fr-FR"/>
        </w:rPr>
      </w:pPr>
      <w:r w:rsidRPr="00EB468C">
        <w:rPr>
          <w:rFonts w:ascii="Times New Roman" w:eastAsia="Times New Roman" w:hAnsi="Times New Roman"/>
          <w:b/>
          <w:color w:val="222222"/>
          <w:lang w:eastAsia="fr-FR"/>
        </w:rPr>
        <w:t xml:space="preserve">Résultat </w:t>
      </w:r>
      <w:r>
        <w:rPr>
          <w:rFonts w:ascii="Times New Roman" w:eastAsia="Times New Roman" w:hAnsi="Times New Roman"/>
          <w:b/>
          <w:color w:val="222222"/>
          <w:lang w:eastAsia="fr-FR"/>
        </w:rPr>
        <w:t>3</w:t>
      </w:r>
      <w:r w:rsidRPr="00EB468C">
        <w:rPr>
          <w:rFonts w:ascii="Times New Roman" w:eastAsia="Times New Roman" w:hAnsi="Times New Roman"/>
          <w:b/>
          <w:color w:val="222222"/>
          <w:lang w:eastAsia="fr-FR"/>
        </w:rPr>
        <w:t> : les appuis sont bien articulés</w:t>
      </w:r>
      <w:r>
        <w:rPr>
          <w:rFonts w:ascii="Times New Roman" w:eastAsia="Times New Roman" w:hAnsi="Times New Roman"/>
          <w:b/>
          <w:color w:val="222222"/>
          <w:lang w:eastAsia="fr-FR"/>
        </w:rPr>
        <w:t xml:space="preserve"> niveau sectoriel et connus par le GSE :</w:t>
      </w:r>
      <w:r w:rsidRPr="00EB468C">
        <w:rPr>
          <w:rFonts w:ascii="Times New Roman" w:eastAsia="Times New Roman" w:hAnsi="Times New Roman"/>
          <w:b/>
          <w:color w:val="222222"/>
          <w:lang w:eastAsia="fr-FR"/>
        </w:rPr>
        <w:t xml:space="preserve"> </w:t>
      </w:r>
      <w:r>
        <w:rPr>
          <w:rFonts w:ascii="Times New Roman" w:eastAsia="Times New Roman" w:hAnsi="Times New Roman"/>
          <w:color w:val="222222"/>
          <w:lang w:eastAsia="fr-FR"/>
        </w:rPr>
        <w:t>i</w:t>
      </w:r>
      <w:r w:rsidRPr="00EB468C">
        <w:rPr>
          <w:rFonts w:ascii="Times New Roman" w:eastAsia="Times New Roman" w:hAnsi="Times New Roman"/>
          <w:color w:val="222222"/>
          <w:lang w:eastAsia="fr-FR"/>
        </w:rPr>
        <w:t xml:space="preserve">l est attendu de </w:t>
      </w:r>
      <w:proofErr w:type="gramStart"/>
      <w:r w:rsidRPr="00EB468C">
        <w:rPr>
          <w:rFonts w:ascii="Times New Roman" w:eastAsia="Times New Roman" w:hAnsi="Times New Roman"/>
          <w:color w:val="222222"/>
          <w:lang w:eastAsia="fr-FR"/>
        </w:rPr>
        <w:t>l’expert.e</w:t>
      </w:r>
      <w:proofErr w:type="gramEnd"/>
      <w:r w:rsidRPr="00EB468C">
        <w:rPr>
          <w:rFonts w:ascii="Times New Roman" w:eastAsia="Times New Roman" w:hAnsi="Times New Roman"/>
          <w:color w:val="222222"/>
          <w:lang w:eastAsia="fr-FR"/>
        </w:rPr>
        <w:t xml:space="preserve"> qu’il/elle veille à la bonne articulation </w:t>
      </w:r>
      <w:r w:rsidR="00C05B7D">
        <w:rPr>
          <w:rFonts w:ascii="Times New Roman" w:eastAsia="Times New Roman" w:hAnsi="Times New Roman"/>
          <w:color w:val="222222"/>
          <w:lang w:eastAsia="fr-FR"/>
        </w:rPr>
        <w:t xml:space="preserve">et à la bonne visibilité </w:t>
      </w:r>
      <w:r w:rsidRPr="00EB468C">
        <w:rPr>
          <w:rFonts w:ascii="Times New Roman" w:eastAsia="Times New Roman" w:hAnsi="Times New Roman"/>
          <w:color w:val="222222"/>
          <w:lang w:eastAsia="fr-FR"/>
        </w:rPr>
        <w:t>des appuis prévus dans le cadre du financement de l’UE avec les autres appuis apportés par l’Union Européenne et les PTF du secteur, au niveau central comme en région</w:t>
      </w:r>
      <w:r w:rsidR="00C05B7D">
        <w:rPr>
          <w:rFonts w:ascii="Times New Roman" w:eastAsia="Times New Roman" w:hAnsi="Times New Roman"/>
          <w:color w:val="222222"/>
          <w:lang w:eastAsia="fr-FR"/>
        </w:rPr>
        <w:t>.</w:t>
      </w:r>
    </w:p>
    <w:p w14:paraId="60CDAA29" w14:textId="77777777" w:rsidR="00BB278E" w:rsidRDefault="00BB278E" w:rsidP="00BB278E">
      <w:pPr>
        <w:pStyle w:val="Paragraphedeliste"/>
        <w:numPr>
          <w:ilvl w:val="1"/>
          <w:numId w:val="1"/>
        </w:numPr>
        <w:spacing w:after="0" w:line="240" w:lineRule="auto"/>
        <w:contextualSpacing w:val="0"/>
        <w:jc w:val="both"/>
        <w:rPr>
          <w:rFonts w:ascii="Times New Roman" w:eastAsia="Times New Roman" w:hAnsi="Times New Roman"/>
          <w:color w:val="222222"/>
          <w:lang w:eastAsia="fr-FR"/>
        </w:rPr>
      </w:pPr>
      <w:r>
        <w:rPr>
          <w:rFonts w:ascii="Times New Roman" w:eastAsia="Times New Roman" w:hAnsi="Times New Roman"/>
          <w:color w:val="222222"/>
          <w:lang w:eastAsia="fr-FR"/>
        </w:rPr>
        <w:t>L’</w:t>
      </w:r>
      <w:proofErr w:type="spellStart"/>
      <w:r>
        <w:rPr>
          <w:rFonts w:ascii="Times New Roman" w:eastAsia="Times New Roman" w:hAnsi="Times New Roman"/>
          <w:color w:val="222222"/>
          <w:lang w:eastAsia="fr-FR"/>
        </w:rPr>
        <w:t>expert.e</w:t>
      </w:r>
      <w:proofErr w:type="spellEnd"/>
      <w:r>
        <w:rPr>
          <w:rFonts w:ascii="Times New Roman" w:eastAsia="Times New Roman" w:hAnsi="Times New Roman"/>
          <w:color w:val="222222"/>
          <w:lang w:eastAsia="fr-FR"/>
        </w:rPr>
        <w:t xml:space="preserve"> portera u</w:t>
      </w:r>
      <w:r w:rsidRPr="00201079">
        <w:rPr>
          <w:rFonts w:ascii="Times New Roman" w:eastAsia="Times New Roman" w:hAnsi="Times New Roman"/>
          <w:color w:val="222222"/>
          <w:lang w:eastAsia="fr-FR"/>
        </w:rPr>
        <w:t xml:space="preserve">ne attention particulière aux efforts d’harmonisation avec les deux autres partenaires de mise en œuvre : Expertise France et AUF. </w:t>
      </w:r>
      <w:r>
        <w:rPr>
          <w:rFonts w:ascii="Times New Roman" w:eastAsia="Times New Roman" w:hAnsi="Times New Roman"/>
          <w:color w:val="222222"/>
          <w:lang w:eastAsia="fr-FR"/>
        </w:rPr>
        <w:t>A ce titre, le prestataire assurera, en bonne coordination avec ces derniers, la préparation des éléments concernant l’Action de l’AFD pour les rencontres du comité de pilotage annuel du programme, les réunions trimestrielles ;</w:t>
      </w:r>
    </w:p>
    <w:p w14:paraId="25F95A5B" w14:textId="13654E81" w:rsidR="00BB278E" w:rsidRPr="00D067B0" w:rsidRDefault="00BB278E" w:rsidP="00BB278E">
      <w:pPr>
        <w:pStyle w:val="Paragraphedeliste"/>
        <w:numPr>
          <w:ilvl w:val="1"/>
          <w:numId w:val="1"/>
        </w:numPr>
        <w:spacing w:after="0" w:line="240" w:lineRule="auto"/>
        <w:contextualSpacing w:val="0"/>
        <w:jc w:val="both"/>
        <w:rPr>
          <w:rFonts w:ascii="Times New Roman" w:eastAsia="Times New Roman" w:hAnsi="Times New Roman"/>
          <w:color w:val="222222"/>
          <w:lang w:eastAsia="fr-FR"/>
        </w:rPr>
      </w:pPr>
      <w:r>
        <w:rPr>
          <w:rFonts w:ascii="Times New Roman" w:eastAsia="Times New Roman" w:hAnsi="Times New Roman"/>
          <w:color w:val="222222"/>
          <w:lang w:eastAsia="fr-FR"/>
        </w:rPr>
        <w:t>L’</w:t>
      </w:r>
      <w:proofErr w:type="spellStart"/>
      <w:r>
        <w:rPr>
          <w:rFonts w:ascii="Times New Roman" w:eastAsia="Times New Roman" w:hAnsi="Times New Roman"/>
          <w:color w:val="222222"/>
          <w:lang w:eastAsia="fr-FR"/>
        </w:rPr>
        <w:t>expert.e</w:t>
      </w:r>
      <w:proofErr w:type="spellEnd"/>
      <w:r>
        <w:rPr>
          <w:rFonts w:ascii="Times New Roman" w:eastAsia="Times New Roman" w:hAnsi="Times New Roman"/>
          <w:color w:val="222222"/>
          <w:lang w:eastAsia="fr-FR"/>
        </w:rPr>
        <w:t xml:space="preserve"> prendra</w:t>
      </w:r>
      <w:r w:rsidRPr="00D067B0">
        <w:rPr>
          <w:rFonts w:ascii="Times New Roman" w:eastAsia="Times New Roman" w:hAnsi="Times New Roman"/>
          <w:color w:val="222222"/>
          <w:lang w:eastAsia="fr-FR"/>
        </w:rPr>
        <w:t xml:space="preserve"> part</w:t>
      </w:r>
      <w:r>
        <w:rPr>
          <w:rFonts w:ascii="Times New Roman" w:eastAsia="Times New Roman" w:hAnsi="Times New Roman"/>
          <w:color w:val="222222"/>
          <w:lang w:eastAsia="fr-FR"/>
        </w:rPr>
        <w:t>, s</w:t>
      </w:r>
      <w:r w:rsidRPr="00D067B0">
        <w:rPr>
          <w:rFonts w:ascii="Times New Roman" w:eastAsia="Times New Roman" w:hAnsi="Times New Roman"/>
          <w:color w:val="222222"/>
          <w:lang w:eastAsia="fr-FR"/>
        </w:rPr>
        <w:t xml:space="preserve">elon les besoins, aux réunions du GSE </w:t>
      </w:r>
      <w:r>
        <w:rPr>
          <w:rFonts w:ascii="Times New Roman" w:eastAsia="Times New Roman" w:hAnsi="Times New Roman"/>
          <w:color w:val="222222"/>
          <w:lang w:eastAsia="fr-FR"/>
        </w:rPr>
        <w:t xml:space="preserve">et </w:t>
      </w:r>
      <w:r w:rsidR="00C05B7D">
        <w:rPr>
          <w:rFonts w:ascii="Times New Roman" w:eastAsia="Times New Roman" w:hAnsi="Times New Roman"/>
          <w:color w:val="222222"/>
          <w:lang w:eastAsia="fr-FR"/>
        </w:rPr>
        <w:t xml:space="preserve">aux </w:t>
      </w:r>
      <w:r>
        <w:rPr>
          <w:rFonts w:ascii="Times New Roman" w:eastAsia="Times New Roman" w:hAnsi="Times New Roman"/>
          <w:color w:val="222222"/>
          <w:lang w:eastAsia="fr-FR"/>
        </w:rPr>
        <w:t xml:space="preserve">réunions </w:t>
      </w:r>
      <w:r w:rsidR="00C05B7D">
        <w:rPr>
          <w:rFonts w:ascii="Times New Roman" w:eastAsia="Times New Roman" w:hAnsi="Times New Roman"/>
          <w:color w:val="222222"/>
          <w:lang w:eastAsia="fr-FR"/>
        </w:rPr>
        <w:t xml:space="preserve">avec les </w:t>
      </w:r>
      <w:r>
        <w:rPr>
          <w:rFonts w:ascii="Times New Roman" w:eastAsia="Times New Roman" w:hAnsi="Times New Roman"/>
          <w:color w:val="222222"/>
          <w:lang w:eastAsia="fr-FR"/>
        </w:rPr>
        <w:t xml:space="preserve">PTF </w:t>
      </w:r>
      <w:r w:rsidR="00C05B7D">
        <w:rPr>
          <w:rFonts w:ascii="Times New Roman" w:eastAsia="Times New Roman" w:hAnsi="Times New Roman"/>
          <w:color w:val="222222"/>
          <w:lang w:eastAsia="fr-FR"/>
        </w:rPr>
        <w:t>pour le compte de l’AFD afin de s’assurer de la bonne articulation et complémentarité des différentes interventions.</w:t>
      </w:r>
    </w:p>
    <w:p w14:paraId="3D2EEC56" w14:textId="77777777" w:rsidR="0051673F" w:rsidRPr="00EB468C" w:rsidRDefault="0051673F" w:rsidP="007B5EF1">
      <w:pPr>
        <w:pStyle w:val="Paragraphedeliste"/>
        <w:spacing w:after="0" w:line="240" w:lineRule="auto"/>
        <w:ind w:left="1440"/>
        <w:contextualSpacing w:val="0"/>
        <w:jc w:val="both"/>
        <w:rPr>
          <w:rFonts w:ascii="Times New Roman" w:eastAsia="Times New Roman" w:hAnsi="Times New Roman"/>
          <w:color w:val="222222"/>
          <w:lang w:eastAsia="fr-FR"/>
        </w:rPr>
      </w:pPr>
    </w:p>
    <w:p w14:paraId="13253210" w14:textId="188BE6E5" w:rsidR="009C155D" w:rsidRPr="00EB468C" w:rsidRDefault="009C155D" w:rsidP="009C155D">
      <w:pPr>
        <w:pStyle w:val="Paragraphedeliste"/>
        <w:numPr>
          <w:ilvl w:val="0"/>
          <w:numId w:val="1"/>
        </w:numPr>
        <w:spacing w:after="0" w:line="240" w:lineRule="auto"/>
        <w:ind w:hanging="357"/>
        <w:contextualSpacing w:val="0"/>
        <w:jc w:val="both"/>
        <w:rPr>
          <w:rFonts w:ascii="Times New Roman" w:eastAsia="Times New Roman" w:hAnsi="Times New Roman"/>
          <w:color w:val="222222"/>
          <w:lang w:eastAsia="fr-FR"/>
        </w:rPr>
      </w:pPr>
      <w:r w:rsidRPr="00EB468C">
        <w:rPr>
          <w:rFonts w:ascii="Times New Roman" w:eastAsia="Times New Roman" w:hAnsi="Times New Roman"/>
          <w:b/>
          <w:color w:val="222222"/>
          <w:lang w:eastAsia="fr-FR"/>
        </w:rPr>
        <w:t xml:space="preserve">Résultat </w:t>
      </w:r>
      <w:r w:rsidR="007B5EF1">
        <w:rPr>
          <w:rFonts w:ascii="Times New Roman" w:eastAsia="Times New Roman" w:hAnsi="Times New Roman"/>
          <w:b/>
          <w:color w:val="222222"/>
          <w:lang w:eastAsia="fr-FR"/>
        </w:rPr>
        <w:t>4</w:t>
      </w:r>
      <w:r w:rsidRPr="00EB468C">
        <w:rPr>
          <w:rFonts w:ascii="Times New Roman" w:eastAsia="Times New Roman" w:hAnsi="Times New Roman"/>
          <w:b/>
          <w:color w:val="222222"/>
          <w:lang w:eastAsia="fr-FR"/>
        </w:rPr>
        <w:t> : les versements sont effectués conformément au plan de décaissement prévu</w:t>
      </w:r>
      <w:r w:rsidR="00EB468C">
        <w:rPr>
          <w:rFonts w:ascii="Times New Roman" w:eastAsia="Times New Roman" w:hAnsi="Times New Roman"/>
          <w:color w:val="222222"/>
          <w:lang w:eastAsia="fr-FR"/>
        </w:rPr>
        <w:t> :</w:t>
      </w:r>
      <w:r w:rsidRPr="00EB468C">
        <w:rPr>
          <w:rFonts w:ascii="Times New Roman" w:eastAsia="Times New Roman" w:hAnsi="Times New Roman"/>
          <w:color w:val="222222"/>
          <w:lang w:eastAsia="fr-FR"/>
        </w:rPr>
        <w:t xml:space="preserve"> L’expert.e sera </w:t>
      </w:r>
      <w:proofErr w:type="gramStart"/>
      <w:r w:rsidRPr="00EB468C">
        <w:rPr>
          <w:rFonts w:ascii="Times New Roman" w:eastAsia="Times New Roman" w:hAnsi="Times New Roman"/>
          <w:color w:val="222222"/>
          <w:lang w:eastAsia="fr-FR"/>
        </w:rPr>
        <w:t>chargé.e</w:t>
      </w:r>
      <w:proofErr w:type="gramEnd"/>
      <w:r w:rsidRPr="00EB468C">
        <w:rPr>
          <w:rFonts w:ascii="Times New Roman" w:eastAsia="Times New Roman" w:hAnsi="Times New Roman"/>
          <w:color w:val="222222"/>
          <w:lang w:eastAsia="fr-FR"/>
        </w:rPr>
        <w:t xml:space="preserve"> de la préparation des décaissements au titre du financement de l’UE, et plus spécifiquement de la préparation des appels de fonds, du suivi de la réception des fonds (en lien avec les équipes à Paris), du suivi des besoins de trésorerie, de la collecte et de l’analyse des documents préalables au versement des fonds sur le compte du FCE. Il/elle participera à l’analyse </w:t>
      </w:r>
      <w:r w:rsidRPr="00EB468C">
        <w:rPr>
          <w:rFonts w:ascii="Times New Roman" w:eastAsia="Times New Roman" w:hAnsi="Times New Roman"/>
          <w:color w:val="222222"/>
          <w:lang w:eastAsia="fr-FR"/>
        </w:rPr>
        <w:lastRenderedPageBreak/>
        <w:t xml:space="preserve">des rapports financiers </w:t>
      </w:r>
      <w:r w:rsidR="006E25E5" w:rsidRPr="00EB468C">
        <w:rPr>
          <w:rFonts w:ascii="Times New Roman" w:eastAsia="Times New Roman" w:hAnsi="Times New Roman"/>
          <w:color w:val="222222"/>
          <w:lang w:eastAsia="fr-FR"/>
        </w:rPr>
        <w:t>du FC</w:t>
      </w:r>
      <w:r w:rsidRPr="00EB468C">
        <w:rPr>
          <w:rFonts w:ascii="Times New Roman" w:eastAsia="Times New Roman" w:hAnsi="Times New Roman"/>
          <w:color w:val="222222"/>
          <w:lang w:eastAsia="fr-FR"/>
        </w:rPr>
        <w:t>E et aux échanges relatifs aux audits</w:t>
      </w:r>
      <w:r w:rsidR="005347A5">
        <w:rPr>
          <w:rFonts w:ascii="Times New Roman" w:eastAsia="Times New Roman" w:hAnsi="Times New Roman"/>
          <w:color w:val="222222"/>
          <w:lang w:eastAsia="fr-FR"/>
        </w:rPr>
        <w:t xml:space="preserve"> et</w:t>
      </w:r>
      <w:r w:rsidRPr="00EB468C">
        <w:rPr>
          <w:rFonts w:ascii="Times New Roman" w:eastAsia="Times New Roman" w:hAnsi="Times New Roman"/>
          <w:color w:val="222222"/>
          <w:lang w:eastAsia="fr-FR"/>
        </w:rPr>
        <w:t xml:space="preserve"> préparera chaque année l’état de la justification des fonds au titre du financement de l’UE.</w:t>
      </w:r>
    </w:p>
    <w:p w14:paraId="2527138E" w14:textId="77777777" w:rsidR="00D30EB2" w:rsidRPr="00EB468C" w:rsidRDefault="00D30EB2" w:rsidP="00EB468C">
      <w:pPr>
        <w:pStyle w:val="Paragraphedeliste"/>
        <w:spacing w:after="0" w:line="240" w:lineRule="auto"/>
        <w:contextualSpacing w:val="0"/>
        <w:jc w:val="both"/>
        <w:rPr>
          <w:rFonts w:ascii="Times New Roman" w:eastAsia="Times New Roman" w:hAnsi="Times New Roman"/>
          <w:color w:val="222222"/>
          <w:lang w:eastAsia="fr-FR"/>
        </w:rPr>
      </w:pPr>
    </w:p>
    <w:p w14:paraId="79FAD8F5" w14:textId="69B99004" w:rsidR="002B6B90" w:rsidRPr="00EB468C" w:rsidRDefault="002B6B90" w:rsidP="002B6B90">
      <w:pPr>
        <w:pStyle w:val="Paragraphedeliste"/>
        <w:numPr>
          <w:ilvl w:val="0"/>
          <w:numId w:val="1"/>
        </w:numPr>
        <w:spacing w:after="0" w:line="240" w:lineRule="auto"/>
        <w:ind w:hanging="357"/>
        <w:contextualSpacing w:val="0"/>
        <w:jc w:val="both"/>
        <w:rPr>
          <w:rFonts w:ascii="Times New Roman" w:eastAsia="Times New Roman" w:hAnsi="Times New Roman"/>
          <w:color w:val="222222"/>
          <w:lang w:eastAsia="fr-FR"/>
        </w:rPr>
      </w:pPr>
      <w:r w:rsidRPr="00EB468C">
        <w:rPr>
          <w:rFonts w:ascii="Times New Roman" w:eastAsia="Times New Roman" w:hAnsi="Times New Roman"/>
          <w:b/>
          <w:color w:val="222222"/>
          <w:lang w:eastAsia="fr-FR"/>
        </w:rPr>
        <w:t xml:space="preserve">Résultat </w:t>
      </w:r>
      <w:r w:rsidR="007B5EF1">
        <w:rPr>
          <w:rFonts w:ascii="Times New Roman" w:eastAsia="Times New Roman" w:hAnsi="Times New Roman"/>
          <w:b/>
          <w:color w:val="222222"/>
          <w:lang w:eastAsia="fr-FR"/>
        </w:rPr>
        <w:t xml:space="preserve">5 </w:t>
      </w:r>
      <w:r w:rsidRPr="00EB468C">
        <w:rPr>
          <w:rFonts w:ascii="Times New Roman" w:eastAsia="Times New Roman" w:hAnsi="Times New Roman"/>
          <w:b/>
          <w:color w:val="222222"/>
          <w:lang w:eastAsia="fr-FR"/>
        </w:rPr>
        <w:t xml:space="preserve">: les prestations </w:t>
      </w:r>
      <w:r w:rsidR="002D2797">
        <w:rPr>
          <w:rFonts w:ascii="Times New Roman" w:eastAsia="Times New Roman" w:hAnsi="Times New Roman"/>
          <w:b/>
          <w:color w:val="222222"/>
          <w:lang w:eastAsia="fr-FR"/>
        </w:rPr>
        <w:t xml:space="preserve">relatives à la </w:t>
      </w:r>
      <w:r w:rsidR="00005BD4">
        <w:rPr>
          <w:rFonts w:ascii="Times New Roman" w:eastAsia="Times New Roman" w:hAnsi="Times New Roman"/>
          <w:b/>
          <w:color w:val="222222"/>
          <w:lang w:eastAsia="fr-FR"/>
        </w:rPr>
        <w:t xml:space="preserve">bonne exécution du financement </w:t>
      </w:r>
      <w:r w:rsidRPr="00EB468C">
        <w:rPr>
          <w:rFonts w:ascii="Times New Roman" w:eastAsia="Times New Roman" w:hAnsi="Times New Roman"/>
          <w:b/>
          <w:color w:val="222222"/>
          <w:lang w:eastAsia="fr-FR"/>
        </w:rPr>
        <w:t>sont réalisées</w:t>
      </w:r>
      <w:r w:rsidR="00005BD4">
        <w:rPr>
          <w:rFonts w:ascii="Times New Roman" w:eastAsia="Times New Roman" w:hAnsi="Times New Roman"/>
          <w:b/>
          <w:color w:val="222222"/>
          <w:lang w:eastAsia="fr-FR"/>
        </w:rPr>
        <w:t xml:space="preserve"> : </w:t>
      </w:r>
      <w:r w:rsidR="00005BD4">
        <w:rPr>
          <w:rFonts w:ascii="Times New Roman" w:hAnsi="Times New Roman"/>
          <w:color w:val="222222"/>
        </w:rPr>
        <w:t>e</w:t>
      </w:r>
      <w:r w:rsidR="005347A5">
        <w:rPr>
          <w:rFonts w:ascii="Times New Roman" w:hAnsi="Times New Roman"/>
          <w:color w:val="222222"/>
        </w:rPr>
        <w:t xml:space="preserve">n étroite collaboration avec l’équipe opérationnelle du bureau de l’AFD à </w:t>
      </w:r>
      <w:r w:rsidR="004E58A2">
        <w:rPr>
          <w:rFonts w:ascii="Times New Roman" w:hAnsi="Times New Roman"/>
          <w:color w:val="222222"/>
        </w:rPr>
        <w:t xml:space="preserve">Antananarivo </w:t>
      </w:r>
      <w:r w:rsidR="005347A5">
        <w:rPr>
          <w:rFonts w:ascii="Times New Roman" w:hAnsi="Times New Roman"/>
          <w:color w:val="222222"/>
        </w:rPr>
        <w:t xml:space="preserve">et à Paris, le prestataire coordonnera et pilotera </w:t>
      </w:r>
      <w:r w:rsidR="002D2797">
        <w:rPr>
          <w:rFonts w:ascii="Times New Roman" w:hAnsi="Times New Roman"/>
          <w:color w:val="222222"/>
        </w:rPr>
        <w:t>au moins les</w:t>
      </w:r>
      <w:r w:rsidR="005347A5">
        <w:rPr>
          <w:rFonts w:ascii="Times New Roman" w:hAnsi="Times New Roman"/>
          <w:color w:val="222222"/>
        </w:rPr>
        <w:t xml:space="preserve"> prestations suivantes : i) audits externes, ii) communication et visibilité et iii) assistant(e) technique sur les questions du genre. </w:t>
      </w:r>
      <w:r w:rsidR="005347A5" w:rsidRPr="00BE210E">
        <w:rPr>
          <w:rFonts w:ascii="Times New Roman" w:eastAsia="Times New Roman" w:hAnsi="Times New Roman"/>
          <w:color w:val="222222"/>
          <w:lang w:eastAsia="fr-FR"/>
        </w:rPr>
        <w:t xml:space="preserve">Il est attendu </w:t>
      </w:r>
      <w:r w:rsidR="00487489">
        <w:rPr>
          <w:rFonts w:ascii="Times New Roman" w:eastAsia="Times New Roman" w:hAnsi="Times New Roman"/>
          <w:color w:val="222222"/>
          <w:lang w:eastAsia="fr-FR"/>
        </w:rPr>
        <w:t>que</w:t>
      </w:r>
      <w:r w:rsidR="005347A5" w:rsidRPr="00BE210E">
        <w:rPr>
          <w:rFonts w:ascii="Times New Roman" w:eastAsia="Times New Roman" w:hAnsi="Times New Roman"/>
          <w:color w:val="222222"/>
          <w:lang w:eastAsia="fr-FR"/>
        </w:rPr>
        <w:t xml:space="preserve"> </w:t>
      </w:r>
      <w:proofErr w:type="gramStart"/>
      <w:r w:rsidR="005347A5" w:rsidRPr="00BE210E">
        <w:rPr>
          <w:rFonts w:ascii="Times New Roman" w:eastAsia="Times New Roman" w:hAnsi="Times New Roman"/>
          <w:color w:val="222222"/>
          <w:lang w:eastAsia="fr-FR"/>
        </w:rPr>
        <w:t>l’</w:t>
      </w:r>
      <w:proofErr w:type="spellStart"/>
      <w:r w:rsidR="005347A5" w:rsidRPr="00BE210E">
        <w:rPr>
          <w:rFonts w:ascii="Times New Roman" w:eastAsia="Times New Roman" w:hAnsi="Times New Roman"/>
          <w:color w:val="222222"/>
          <w:lang w:eastAsia="fr-FR"/>
        </w:rPr>
        <w:t>expert.e</w:t>
      </w:r>
      <w:proofErr w:type="spellEnd"/>
      <w:proofErr w:type="gramEnd"/>
      <w:r w:rsidR="005347A5" w:rsidRPr="00BE210E">
        <w:rPr>
          <w:rFonts w:ascii="Times New Roman" w:eastAsia="Times New Roman" w:hAnsi="Times New Roman"/>
          <w:color w:val="222222"/>
          <w:lang w:eastAsia="fr-FR"/>
        </w:rPr>
        <w:t xml:space="preserve"> </w:t>
      </w:r>
      <w:r w:rsidR="00986AEE">
        <w:rPr>
          <w:rFonts w:ascii="Times New Roman" w:eastAsia="Times New Roman" w:hAnsi="Times New Roman"/>
          <w:color w:val="222222"/>
          <w:lang w:eastAsia="fr-FR"/>
        </w:rPr>
        <w:t>prépare une première version des TDR, appuie</w:t>
      </w:r>
      <w:r w:rsidR="002D2797">
        <w:rPr>
          <w:rFonts w:ascii="Times New Roman" w:eastAsia="Times New Roman" w:hAnsi="Times New Roman"/>
          <w:color w:val="222222"/>
          <w:lang w:eastAsia="fr-FR"/>
        </w:rPr>
        <w:t xml:space="preserve"> l</w:t>
      </w:r>
      <w:r w:rsidR="005347A5" w:rsidRPr="00BE210E">
        <w:rPr>
          <w:rFonts w:ascii="Times New Roman" w:eastAsia="Times New Roman" w:hAnsi="Times New Roman"/>
          <w:color w:val="222222"/>
          <w:lang w:eastAsia="fr-FR"/>
        </w:rPr>
        <w:t>a contractualisation</w:t>
      </w:r>
      <w:r w:rsidR="002D2797">
        <w:rPr>
          <w:rFonts w:ascii="Times New Roman" w:eastAsia="Times New Roman" w:hAnsi="Times New Roman"/>
          <w:color w:val="222222"/>
          <w:lang w:eastAsia="fr-FR"/>
        </w:rPr>
        <w:t xml:space="preserve"> </w:t>
      </w:r>
      <w:r w:rsidR="00986AEE">
        <w:rPr>
          <w:rFonts w:ascii="Times New Roman" w:eastAsia="Times New Roman" w:hAnsi="Times New Roman"/>
          <w:color w:val="222222"/>
          <w:lang w:eastAsia="fr-FR"/>
        </w:rPr>
        <w:t xml:space="preserve">avec les services à Paris </w:t>
      </w:r>
      <w:r w:rsidR="002D2797">
        <w:rPr>
          <w:rFonts w:ascii="Times New Roman" w:eastAsia="Times New Roman" w:hAnsi="Times New Roman"/>
          <w:color w:val="222222"/>
          <w:lang w:eastAsia="fr-FR"/>
        </w:rPr>
        <w:t>et</w:t>
      </w:r>
      <w:r w:rsidR="00986AEE">
        <w:rPr>
          <w:rFonts w:ascii="Times New Roman" w:eastAsia="Times New Roman" w:hAnsi="Times New Roman"/>
          <w:color w:val="222222"/>
          <w:lang w:eastAsia="fr-FR"/>
        </w:rPr>
        <w:t xml:space="preserve"> suive</w:t>
      </w:r>
      <w:r w:rsidR="005347A5" w:rsidRPr="00BE210E">
        <w:rPr>
          <w:rFonts w:ascii="Times New Roman" w:eastAsia="Times New Roman" w:hAnsi="Times New Roman"/>
          <w:color w:val="222222"/>
          <w:lang w:eastAsia="fr-FR"/>
        </w:rPr>
        <w:t xml:space="preserve"> l’exécution des prestations</w:t>
      </w:r>
      <w:r w:rsidR="002D2797">
        <w:rPr>
          <w:rFonts w:ascii="Times New Roman" w:eastAsia="Times New Roman" w:hAnsi="Times New Roman"/>
          <w:color w:val="222222"/>
          <w:lang w:eastAsia="fr-FR"/>
        </w:rPr>
        <w:t>,</w:t>
      </w:r>
      <w:r w:rsidR="002D2797" w:rsidRPr="00EB468C">
        <w:rPr>
          <w:rStyle w:val="Appelnotedebasdep"/>
          <w:rFonts w:ascii="Times New Roman" w:eastAsia="Times New Roman" w:hAnsi="Times New Roman"/>
          <w:color w:val="222222"/>
          <w:vertAlign w:val="superscript"/>
          <w:lang w:eastAsia="fr-FR"/>
        </w:rPr>
        <w:footnoteReference w:id="7"/>
      </w:r>
      <w:r w:rsidR="005347A5" w:rsidRPr="00BE210E">
        <w:rPr>
          <w:rFonts w:ascii="Times New Roman" w:eastAsia="Times New Roman" w:hAnsi="Times New Roman"/>
          <w:color w:val="222222"/>
          <w:lang w:eastAsia="fr-FR"/>
        </w:rPr>
        <w:t xml:space="preserve"> assure le suivi-qualité des réalisations</w:t>
      </w:r>
      <w:r w:rsidR="002D2797">
        <w:rPr>
          <w:rFonts w:ascii="Times New Roman" w:eastAsia="Times New Roman" w:hAnsi="Times New Roman"/>
          <w:color w:val="222222"/>
          <w:lang w:eastAsia="fr-FR"/>
        </w:rPr>
        <w:t xml:space="preserve">/ </w:t>
      </w:r>
      <w:r w:rsidR="005347A5" w:rsidRPr="00BE210E">
        <w:rPr>
          <w:rFonts w:ascii="Times New Roman" w:eastAsia="Times New Roman" w:hAnsi="Times New Roman"/>
          <w:color w:val="222222"/>
          <w:lang w:eastAsia="fr-FR"/>
        </w:rPr>
        <w:t>livrable</w:t>
      </w:r>
      <w:r w:rsidR="002D2797">
        <w:rPr>
          <w:rFonts w:ascii="Times New Roman" w:eastAsia="Times New Roman" w:hAnsi="Times New Roman"/>
          <w:color w:val="222222"/>
          <w:lang w:eastAsia="fr-FR"/>
        </w:rPr>
        <w:t xml:space="preserve">s et </w:t>
      </w:r>
      <w:r w:rsidR="005347A5" w:rsidRPr="00BE210E">
        <w:rPr>
          <w:rFonts w:ascii="Times New Roman" w:eastAsia="Times New Roman" w:hAnsi="Times New Roman"/>
          <w:color w:val="222222"/>
          <w:lang w:eastAsia="fr-FR"/>
        </w:rPr>
        <w:t>prépare la mise en paiement des factures (contrôle des factures).</w:t>
      </w:r>
      <w:r w:rsidR="005347A5" w:rsidRPr="005347A5">
        <w:rPr>
          <w:rFonts w:ascii="Times New Roman" w:hAnsi="Times New Roman"/>
          <w:color w:val="222222"/>
        </w:rPr>
        <w:t xml:space="preserve"> </w:t>
      </w:r>
    </w:p>
    <w:p w14:paraId="27621C67" w14:textId="26ED4DB9" w:rsidR="002B6B90" w:rsidRDefault="002B6B90" w:rsidP="00A22B0F">
      <w:pPr>
        <w:spacing w:line="240" w:lineRule="auto"/>
        <w:ind w:left="363"/>
        <w:jc w:val="both"/>
        <w:rPr>
          <w:color w:val="222222"/>
          <w:sz w:val="22"/>
          <w:szCs w:val="22"/>
        </w:rPr>
      </w:pPr>
    </w:p>
    <w:p w14:paraId="440047C9" w14:textId="47C65623" w:rsidR="00341D17" w:rsidRPr="00EB468C" w:rsidRDefault="00341D17" w:rsidP="00341D17">
      <w:pPr>
        <w:pStyle w:val="Titre2"/>
        <w:numPr>
          <w:ilvl w:val="0"/>
          <w:numId w:val="0"/>
        </w:numPr>
        <w:spacing w:before="0"/>
        <w:rPr>
          <w:b/>
          <w:i w:val="0"/>
          <w:color w:val="auto"/>
          <w:sz w:val="22"/>
          <w:szCs w:val="22"/>
          <w:u w:val="single"/>
        </w:rPr>
      </w:pPr>
      <w:r>
        <w:rPr>
          <w:b/>
          <w:i w:val="0"/>
          <w:color w:val="auto"/>
          <w:sz w:val="22"/>
          <w:szCs w:val="22"/>
          <w:u w:val="single"/>
        </w:rPr>
        <w:t>Livrable</w:t>
      </w:r>
      <w:r w:rsidRPr="00EB468C">
        <w:rPr>
          <w:b/>
          <w:i w:val="0"/>
          <w:color w:val="auto"/>
          <w:sz w:val="22"/>
          <w:szCs w:val="22"/>
          <w:u w:val="single"/>
        </w:rPr>
        <w:t xml:space="preserve">s attendus </w:t>
      </w:r>
    </w:p>
    <w:p w14:paraId="4985365A" w14:textId="77777777" w:rsidR="00341D17" w:rsidRPr="00341D17" w:rsidRDefault="00341D17" w:rsidP="00341D17">
      <w:pPr>
        <w:spacing w:line="240" w:lineRule="auto"/>
        <w:ind w:left="363"/>
        <w:jc w:val="both"/>
        <w:rPr>
          <w:color w:val="222222"/>
          <w:sz w:val="22"/>
          <w:szCs w:val="22"/>
        </w:rPr>
      </w:pPr>
    </w:p>
    <w:p w14:paraId="16830732" w14:textId="2E1E46B3" w:rsidR="00341D17" w:rsidRDefault="00341D17" w:rsidP="00341D17">
      <w:pPr>
        <w:spacing w:line="240" w:lineRule="auto"/>
        <w:ind w:left="363"/>
        <w:jc w:val="both"/>
        <w:rPr>
          <w:color w:val="222222"/>
          <w:sz w:val="22"/>
          <w:szCs w:val="22"/>
        </w:rPr>
      </w:pPr>
      <w:r w:rsidRPr="00341D17">
        <w:rPr>
          <w:color w:val="222222"/>
          <w:sz w:val="22"/>
          <w:szCs w:val="22"/>
        </w:rPr>
        <w:t>Les livrables suivants seront attendus de la part du consultant/ de la consultante :</w:t>
      </w:r>
    </w:p>
    <w:p w14:paraId="5A8B1F10" w14:textId="77777777" w:rsidR="00341D17" w:rsidRPr="00341D17" w:rsidRDefault="00341D17" w:rsidP="00341D17">
      <w:pPr>
        <w:spacing w:line="240" w:lineRule="auto"/>
        <w:ind w:left="363"/>
        <w:jc w:val="both"/>
        <w:rPr>
          <w:color w:val="222222"/>
          <w:sz w:val="22"/>
          <w:szCs w:val="22"/>
        </w:rPr>
      </w:pPr>
    </w:p>
    <w:p w14:paraId="12E3B038" w14:textId="43D25DC5" w:rsidR="00341D17" w:rsidRPr="00341D17" w:rsidRDefault="00341D17" w:rsidP="00341D17">
      <w:pPr>
        <w:numPr>
          <w:ilvl w:val="0"/>
          <w:numId w:val="33"/>
        </w:numPr>
        <w:spacing w:line="240" w:lineRule="auto"/>
        <w:jc w:val="both"/>
        <w:rPr>
          <w:color w:val="222222"/>
          <w:sz w:val="22"/>
          <w:szCs w:val="22"/>
        </w:rPr>
      </w:pPr>
      <w:r w:rsidRPr="00341D17">
        <w:rPr>
          <w:color w:val="222222"/>
          <w:sz w:val="22"/>
          <w:szCs w:val="22"/>
        </w:rPr>
        <w:t xml:space="preserve">Un tableau de bord </w:t>
      </w:r>
      <w:r>
        <w:rPr>
          <w:color w:val="222222"/>
          <w:sz w:val="22"/>
          <w:szCs w:val="22"/>
        </w:rPr>
        <w:t xml:space="preserve">bimestriel </w:t>
      </w:r>
      <w:r w:rsidRPr="00341D17">
        <w:rPr>
          <w:color w:val="222222"/>
          <w:sz w:val="22"/>
          <w:szCs w:val="22"/>
        </w:rPr>
        <w:t xml:space="preserve">des activités (réalisées et à réaliser), les difficultés et points d’attention et/ou un rapport d’activité </w:t>
      </w:r>
      <w:r>
        <w:rPr>
          <w:color w:val="222222"/>
          <w:sz w:val="22"/>
          <w:szCs w:val="22"/>
        </w:rPr>
        <w:t>bimestriel</w:t>
      </w:r>
      <w:r w:rsidR="00B14851">
        <w:rPr>
          <w:color w:val="222222"/>
          <w:sz w:val="22"/>
          <w:szCs w:val="22"/>
        </w:rPr>
        <w:t xml:space="preserve"> concernant les résultats explicités ci-dessus. </w:t>
      </w:r>
    </w:p>
    <w:p w14:paraId="7A924BED" w14:textId="77777777" w:rsidR="00082B71" w:rsidRDefault="00082B71" w:rsidP="00A22B0F">
      <w:pPr>
        <w:spacing w:line="240" w:lineRule="auto"/>
        <w:ind w:left="363"/>
        <w:jc w:val="both"/>
        <w:rPr>
          <w:color w:val="222222"/>
          <w:sz w:val="22"/>
          <w:szCs w:val="22"/>
        </w:rPr>
      </w:pPr>
    </w:p>
    <w:p w14:paraId="58C391B1" w14:textId="77777777" w:rsidR="00D86ABF" w:rsidRPr="00EB468C" w:rsidRDefault="00D86ABF" w:rsidP="00EB468C">
      <w:pPr>
        <w:pStyle w:val="Paragraphedeliste"/>
        <w:spacing w:after="0" w:line="240" w:lineRule="auto"/>
        <w:contextualSpacing w:val="0"/>
        <w:jc w:val="both"/>
        <w:rPr>
          <w:b/>
        </w:rPr>
      </w:pPr>
    </w:p>
    <w:p w14:paraId="50DB455A" w14:textId="0E81F632" w:rsidR="00D86ABF" w:rsidRDefault="00D86ABF" w:rsidP="00EB468C">
      <w:pPr>
        <w:pStyle w:val="Titre1"/>
        <w:spacing w:line="240" w:lineRule="auto"/>
        <w:ind w:firstLine="709"/>
        <w:rPr>
          <w:b/>
          <w:i w:val="0"/>
          <w:sz w:val="22"/>
          <w:szCs w:val="22"/>
          <w:u w:val="single"/>
        </w:rPr>
      </w:pPr>
      <w:r w:rsidRPr="00EB468C">
        <w:rPr>
          <w:b/>
          <w:i w:val="0"/>
          <w:sz w:val="22"/>
          <w:szCs w:val="22"/>
          <w:u w:val="single"/>
        </w:rPr>
        <w:t>DUREE DE LA MISSION</w:t>
      </w:r>
    </w:p>
    <w:p w14:paraId="2ACE9ABB" w14:textId="77777777" w:rsidR="00546D0C" w:rsidRPr="00EB468C" w:rsidRDefault="00546D0C" w:rsidP="00EB468C"/>
    <w:p w14:paraId="3B1FF44D" w14:textId="2B48FD52" w:rsidR="00D86ABF" w:rsidRPr="00EB468C" w:rsidRDefault="00D86ABF" w:rsidP="00EB468C">
      <w:pPr>
        <w:spacing w:line="240" w:lineRule="auto"/>
        <w:contextualSpacing/>
        <w:jc w:val="both"/>
        <w:rPr>
          <w:sz w:val="22"/>
          <w:szCs w:val="22"/>
        </w:rPr>
      </w:pPr>
      <w:r w:rsidRPr="00EB468C">
        <w:rPr>
          <w:sz w:val="22"/>
          <w:szCs w:val="22"/>
        </w:rPr>
        <w:t xml:space="preserve">Il est attendu que la prestation puisse démarrer </w:t>
      </w:r>
      <w:r w:rsidR="00071846">
        <w:rPr>
          <w:sz w:val="22"/>
          <w:szCs w:val="22"/>
        </w:rPr>
        <w:t xml:space="preserve">en </w:t>
      </w:r>
      <w:r w:rsidR="00E17BF3">
        <w:rPr>
          <w:sz w:val="22"/>
          <w:szCs w:val="22"/>
        </w:rPr>
        <w:t>mai 2026</w:t>
      </w:r>
      <w:r w:rsidRPr="00EB468C">
        <w:rPr>
          <w:sz w:val="22"/>
          <w:szCs w:val="22"/>
        </w:rPr>
        <w:t xml:space="preserve">. Elle </w:t>
      </w:r>
      <w:r w:rsidR="005347A5">
        <w:rPr>
          <w:sz w:val="22"/>
          <w:szCs w:val="22"/>
        </w:rPr>
        <w:t>est prévue pour une durée</w:t>
      </w:r>
      <w:r w:rsidR="0020206C">
        <w:rPr>
          <w:sz w:val="22"/>
          <w:szCs w:val="22"/>
        </w:rPr>
        <w:t xml:space="preserve"> </w:t>
      </w:r>
      <w:r w:rsidR="00EA1BD0">
        <w:rPr>
          <w:sz w:val="22"/>
          <w:szCs w:val="22"/>
        </w:rPr>
        <w:t>d</w:t>
      </w:r>
      <w:r w:rsidR="00487489">
        <w:rPr>
          <w:sz w:val="22"/>
          <w:szCs w:val="22"/>
        </w:rPr>
        <w:t>’environ</w:t>
      </w:r>
      <w:r w:rsidR="00EA1BD0">
        <w:rPr>
          <w:sz w:val="22"/>
          <w:szCs w:val="22"/>
        </w:rPr>
        <w:t xml:space="preserve"> </w:t>
      </w:r>
      <w:r w:rsidR="00487489">
        <w:rPr>
          <w:sz w:val="22"/>
          <w:szCs w:val="22"/>
        </w:rPr>
        <w:t>5</w:t>
      </w:r>
      <w:r w:rsidR="00FB5826">
        <w:rPr>
          <w:sz w:val="22"/>
          <w:szCs w:val="22"/>
        </w:rPr>
        <w:t>6</w:t>
      </w:r>
      <w:r w:rsidR="00EA1BD0">
        <w:rPr>
          <w:sz w:val="22"/>
          <w:szCs w:val="22"/>
        </w:rPr>
        <w:t xml:space="preserve"> </w:t>
      </w:r>
      <w:r w:rsidR="00C34DF5" w:rsidRPr="00EB468C">
        <w:rPr>
          <w:sz w:val="22"/>
          <w:szCs w:val="22"/>
        </w:rPr>
        <w:t>mois</w:t>
      </w:r>
      <w:r w:rsidR="00487489">
        <w:rPr>
          <w:sz w:val="22"/>
          <w:szCs w:val="22"/>
        </w:rPr>
        <w:t>, jusqu’au 31 décembre 2030</w:t>
      </w:r>
      <w:r w:rsidR="00986AEE">
        <w:rPr>
          <w:sz w:val="22"/>
          <w:szCs w:val="22"/>
        </w:rPr>
        <w:t>,</w:t>
      </w:r>
      <w:r w:rsidR="00C34DF5" w:rsidRPr="00EB468C">
        <w:rPr>
          <w:sz w:val="22"/>
          <w:szCs w:val="22"/>
        </w:rPr>
        <w:t xml:space="preserve"> </w:t>
      </w:r>
      <w:r w:rsidR="000F0589" w:rsidRPr="00EB468C">
        <w:rPr>
          <w:sz w:val="22"/>
          <w:szCs w:val="22"/>
        </w:rPr>
        <w:t xml:space="preserve">et mobilisera </w:t>
      </w:r>
      <w:proofErr w:type="gramStart"/>
      <w:r w:rsidR="000F0589" w:rsidRPr="00EB468C">
        <w:rPr>
          <w:sz w:val="22"/>
          <w:szCs w:val="22"/>
        </w:rPr>
        <w:t>l’</w:t>
      </w:r>
      <w:proofErr w:type="spellStart"/>
      <w:r w:rsidR="000F0589" w:rsidRPr="00EB468C">
        <w:rPr>
          <w:sz w:val="22"/>
          <w:szCs w:val="22"/>
        </w:rPr>
        <w:t>expert.e</w:t>
      </w:r>
      <w:proofErr w:type="spellEnd"/>
      <w:proofErr w:type="gramEnd"/>
      <w:r w:rsidR="000F0589" w:rsidRPr="00EB468C">
        <w:rPr>
          <w:sz w:val="22"/>
          <w:szCs w:val="22"/>
        </w:rPr>
        <w:t xml:space="preserve"> à temps plein</w:t>
      </w:r>
      <w:r w:rsidR="00FB5826">
        <w:rPr>
          <w:sz w:val="22"/>
          <w:szCs w:val="22"/>
        </w:rPr>
        <w:t xml:space="preserve"> à hauteur d’environ 220 h/j par an</w:t>
      </w:r>
      <w:r w:rsidR="005347A5">
        <w:rPr>
          <w:sz w:val="22"/>
          <w:szCs w:val="22"/>
        </w:rPr>
        <w:t xml:space="preserve">. Le </w:t>
      </w:r>
      <w:r w:rsidR="000F0589" w:rsidRPr="00EB468C">
        <w:rPr>
          <w:sz w:val="22"/>
          <w:szCs w:val="22"/>
        </w:rPr>
        <w:t xml:space="preserve">paiement des congés </w:t>
      </w:r>
      <w:r w:rsidR="005347A5">
        <w:rPr>
          <w:sz w:val="22"/>
          <w:szCs w:val="22"/>
        </w:rPr>
        <w:t xml:space="preserve">seront intégrés </w:t>
      </w:r>
      <w:r w:rsidR="000F0589" w:rsidRPr="00EB468C">
        <w:rPr>
          <w:sz w:val="22"/>
          <w:szCs w:val="22"/>
        </w:rPr>
        <w:t xml:space="preserve">dans les honoraires. Les honoraires seront versés sur une base de 12 mois. </w:t>
      </w:r>
      <w:r w:rsidRPr="00EB468C">
        <w:rPr>
          <w:sz w:val="22"/>
          <w:szCs w:val="22"/>
        </w:rPr>
        <w:t>Le contrat sera signé avec l’AFD</w:t>
      </w:r>
      <w:r w:rsidR="005347A5">
        <w:rPr>
          <w:sz w:val="22"/>
          <w:szCs w:val="22"/>
        </w:rPr>
        <w:t>,</w:t>
      </w:r>
      <w:r w:rsidRPr="00EB468C">
        <w:rPr>
          <w:sz w:val="22"/>
          <w:szCs w:val="22"/>
        </w:rPr>
        <w:t xml:space="preserve"> qui effectuera les paiements au </w:t>
      </w:r>
      <w:r w:rsidR="005347A5">
        <w:rPr>
          <w:sz w:val="22"/>
          <w:szCs w:val="22"/>
        </w:rPr>
        <w:t>prestataire</w:t>
      </w:r>
      <w:r w:rsidR="005347A5" w:rsidRPr="00EB468C">
        <w:rPr>
          <w:sz w:val="22"/>
          <w:szCs w:val="22"/>
        </w:rPr>
        <w:t xml:space="preserve"> </w:t>
      </w:r>
      <w:r w:rsidRPr="00EB468C">
        <w:rPr>
          <w:sz w:val="22"/>
          <w:szCs w:val="22"/>
        </w:rPr>
        <w:t>selon l’échéancier convenu dans le contrat</w:t>
      </w:r>
      <w:r w:rsidR="000F0589" w:rsidRPr="00EB468C">
        <w:rPr>
          <w:sz w:val="22"/>
          <w:szCs w:val="22"/>
        </w:rPr>
        <w:t xml:space="preserve"> et </w:t>
      </w:r>
      <w:r w:rsidR="005347A5">
        <w:rPr>
          <w:sz w:val="22"/>
          <w:szCs w:val="22"/>
        </w:rPr>
        <w:t xml:space="preserve">sur la base des pièces convenues entre le prestataire et l’AFD (time </w:t>
      </w:r>
      <w:proofErr w:type="spellStart"/>
      <w:r w:rsidR="005347A5">
        <w:rPr>
          <w:sz w:val="22"/>
          <w:szCs w:val="22"/>
        </w:rPr>
        <w:t>sheets</w:t>
      </w:r>
      <w:proofErr w:type="spellEnd"/>
      <w:r w:rsidR="005347A5">
        <w:rPr>
          <w:sz w:val="22"/>
          <w:szCs w:val="22"/>
        </w:rPr>
        <w:t xml:space="preserve">, rapports ou autre). </w:t>
      </w:r>
    </w:p>
    <w:p w14:paraId="1E42A746" w14:textId="77777777" w:rsidR="00D86ABF" w:rsidRPr="00EB468C" w:rsidRDefault="00D86ABF" w:rsidP="00D86ABF">
      <w:pPr>
        <w:rPr>
          <w:sz w:val="22"/>
          <w:szCs w:val="22"/>
        </w:rPr>
      </w:pPr>
    </w:p>
    <w:p w14:paraId="7E17F96C" w14:textId="4A37E4ED" w:rsidR="00D86ABF" w:rsidRPr="00EB468C" w:rsidRDefault="00D86ABF" w:rsidP="00EB468C">
      <w:pPr>
        <w:pStyle w:val="Titre1"/>
        <w:spacing w:line="240" w:lineRule="auto"/>
        <w:ind w:firstLine="709"/>
        <w:rPr>
          <w:b/>
          <w:i w:val="0"/>
          <w:sz w:val="22"/>
          <w:szCs w:val="22"/>
          <w:u w:val="single"/>
        </w:rPr>
      </w:pPr>
      <w:r w:rsidRPr="00EB468C">
        <w:rPr>
          <w:b/>
          <w:i w:val="0"/>
          <w:sz w:val="22"/>
          <w:szCs w:val="22"/>
          <w:u w:val="single"/>
        </w:rPr>
        <w:t xml:space="preserve">CONTENU DE L’OFFRE </w:t>
      </w:r>
    </w:p>
    <w:p w14:paraId="78C8B1FF" w14:textId="77777777" w:rsidR="00D86ABF" w:rsidRPr="00EB468C" w:rsidRDefault="00D86ABF" w:rsidP="00D86ABF">
      <w:pPr>
        <w:rPr>
          <w:sz w:val="22"/>
          <w:szCs w:val="22"/>
        </w:rPr>
      </w:pPr>
    </w:p>
    <w:p w14:paraId="639F1225" w14:textId="77777777" w:rsidR="006B6A23" w:rsidRDefault="00546D0C" w:rsidP="00546D0C">
      <w:pPr>
        <w:spacing w:line="240" w:lineRule="auto"/>
        <w:jc w:val="both"/>
        <w:rPr>
          <w:color w:val="222222"/>
          <w:sz w:val="22"/>
          <w:szCs w:val="22"/>
        </w:rPr>
      </w:pPr>
      <w:r w:rsidRPr="00171A39">
        <w:rPr>
          <w:color w:val="222222"/>
          <w:sz w:val="22"/>
          <w:szCs w:val="22"/>
        </w:rPr>
        <w:t xml:space="preserve">Il est demandé au </w:t>
      </w:r>
      <w:r>
        <w:rPr>
          <w:color w:val="222222"/>
          <w:sz w:val="22"/>
          <w:szCs w:val="22"/>
        </w:rPr>
        <w:t>prestataire</w:t>
      </w:r>
      <w:r w:rsidRPr="00171A39">
        <w:rPr>
          <w:color w:val="222222"/>
          <w:sz w:val="22"/>
          <w:szCs w:val="22"/>
        </w:rPr>
        <w:t xml:space="preserve"> de mobiliser </w:t>
      </w:r>
      <w:proofErr w:type="spellStart"/>
      <w:proofErr w:type="gramStart"/>
      <w:r w:rsidRPr="00171A39">
        <w:rPr>
          <w:color w:val="222222"/>
          <w:sz w:val="22"/>
          <w:szCs w:val="22"/>
        </w:rPr>
        <w:t>un.e</w:t>
      </w:r>
      <w:proofErr w:type="spellEnd"/>
      <w:proofErr w:type="gramEnd"/>
      <w:r w:rsidRPr="00171A39">
        <w:rPr>
          <w:color w:val="222222"/>
          <w:sz w:val="22"/>
          <w:szCs w:val="22"/>
        </w:rPr>
        <w:t xml:space="preserve"> </w:t>
      </w:r>
      <w:proofErr w:type="spellStart"/>
      <w:r w:rsidRPr="00171A39">
        <w:rPr>
          <w:color w:val="222222"/>
          <w:sz w:val="22"/>
          <w:szCs w:val="22"/>
        </w:rPr>
        <w:t>expert.e</w:t>
      </w:r>
      <w:proofErr w:type="spellEnd"/>
      <w:r w:rsidRPr="00171A39">
        <w:rPr>
          <w:color w:val="222222"/>
          <w:sz w:val="22"/>
          <w:szCs w:val="22"/>
        </w:rPr>
        <w:t xml:space="preserve"> qui sera basé à Antananarivo. La prestation sera pilotée sous la supervision directe du Chargé de mission Secteurs sociaux de l’agence d’Antananarivo et travaillera en lien très étroit avec </w:t>
      </w:r>
      <w:r w:rsidR="0020206C">
        <w:rPr>
          <w:color w:val="222222"/>
          <w:sz w:val="22"/>
          <w:szCs w:val="22"/>
        </w:rPr>
        <w:t>la Responsable d’Equipe P</w:t>
      </w:r>
      <w:r w:rsidRPr="00171A39">
        <w:rPr>
          <w:color w:val="222222"/>
          <w:sz w:val="22"/>
          <w:szCs w:val="22"/>
        </w:rPr>
        <w:t>rojet de l’AFD à Paris. L’expert.e pourra travailler dans les locaux de l’agence de l’AFD à Antananarivo</w:t>
      </w:r>
      <w:r w:rsidR="006B6A23" w:rsidRPr="006B6A23">
        <w:rPr>
          <w:sz w:val="22"/>
          <w:szCs w:val="22"/>
        </w:rPr>
        <w:t xml:space="preserve"> </w:t>
      </w:r>
      <w:r w:rsidR="006B6A23">
        <w:rPr>
          <w:sz w:val="22"/>
          <w:szCs w:val="22"/>
        </w:rPr>
        <w:t xml:space="preserve">et </w:t>
      </w:r>
      <w:r w:rsidR="006B6A23" w:rsidRPr="006A44E6">
        <w:rPr>
          <w:sz w:val="22"/>
          <w:szCs w:val="22"/>
        </w:rPr>
        <w:t>devra respecter les règlements interne de l’Agence.</w:t>
      </w:r>
    </w:p>
    <w:p w14:paraId="442115BD" w14:textId="77777777" w:rsidR="006B6A23" w:rsidRDefault="006B6A23" w:rsidP="00546D0C">
      <w:pPr>
        <w:spacing w:line="240" w:lineRule="auto"/>
        <w:jc w:val="both"/>
        <w:rPr>
          <w:color w:val="222222"/>
          <w:sz w:val="22"/>
          <w:szCs w:val="22"/>
        </w:rPr>
      </w:pPr>
    </w:p>
    <w:p w14:paraId="0BA24B8B" w14:textId="5F9A0BD5" w:rsidR="005347A5" w:rsidRDefault="00546D0C" w:rsidP="00546D0C">
      <w:pPr>
        <w:spacing w:line="240" w:lineRule="auto"/>
        <w:jc w:val="both"/>
        <w:rPr>
          <w:color w:val="222222"/>
          <w:sz w:val="22"/>
          <w:szCs w:val="22"/>
        </w:rPr>
      </w:pPr>
      <w:r w:rsidRPr="00171A39">
        <w:rPr>
          <w:color w:val="222222"/>
          <w:sz w:val="22"/>
          <w:szCs w:val="22"/>
        </w:rPr>
        <w:t xml:space="preserve">Des missions dans le pays sont à prévoir </w:t>
      </w:r>
      <w:r w:rsidR="0020206C">
        <w:rPr>
          <w:color w:val="222222"/>
          <w:sz w:val="22"/>
          <w:szCs w:val="22"/>
        </w:rPr>
        <w:t>(environ 3 par an). L’offre financière devrait également inclure</w:t>
      </w:r>
      <w:r w:rsidR="002C6392">
        <w:rPr>
          <w:color w:val="222222"/>
          <w:sz w:val="22"/>
          <w:szCs w:val="22"/>
        </w:rPr>
        <w:t>, à titre prévisionnel,</w:t>
      </w:r>
      <w:r w:rsidR="0020206C">
        <w:rPr>
          <w:color w:val="222222"/>
          <w:sz w:val="22"/>
          <w:szCs w:val="22"/>
        </w:rPr>
        <w:t xml:space="preserve"> deux missions à l’</w:t>
      </w:r>
      <w:r w:rsidR="002C6392">
        <w:rPr>
          <w:color w:val="222222"/>
          <w:sz w:val="22"/>
          <w:szCs w:val="22"/>
        </w:rPr>
        <w:t>international</w:t>
      </w:r>
      <w:r w:rsidR="0020206C">
        <w:rPr>
          <w:color w:val="222222"/>
          <w:sz w:val="22"/>
          <w:szCs w:val="22"/>
        </w:rPr>
        <w:t>, dont une en Afrique et une autre en Europe</w:t>
      </w:r>
      <w:r w:rsidR="002C6392">
        <w:rPr>
          <w:color w:val="222222"/>
          <w:sz w:val="22"/>
          <w:szCs w:val="22"/>
        </w:rPr>
        <w:t xml:space="preserve">, pour participer à des formations, séminaires, ateliers, voyages d’études etc. La durée estimative est d’une semaine. </w:t>
      </w:r>
      <w:r w:rsidR="006B6A23">
        <w:rPr>
          <w:sz w:val="22"/>
          <w:szCs w:val="22"/>
        </w:rPr>
        <w:t>Les</w:t>
      </w:r>
      <w:r w:rsidR="006B6A23" w:rsidRPr="003F5BA5">
        <w:rPr>
          <w:sz w:val="22"/>
          <w:szCs w:val="22"/>
        </w:rPr>
        <w:t xml:space="preserve"> frais qui seront remboursés au réel sur la base des justificatifs de mission (lettre de mission contresignée par l’AFD, billet d’avion, coûts d’escorte, carburant, etc.). Ces missions pourront être réalisées de manière autonome par </w:t>
      </w:r>
      <w:proofErr w:type="gramStart"/>
      <w:r w:rsidR="006B6A23" w:rsidRPr="003F5BA5">
        <w:rPr>
          <w:sz w:val="22"/>
          <w:szCs w:val="22"/>
        </w:rPr>
        <w:t>l’expert.e</w:t>
      </w:r>
      <w:proofErr w:type="gramEnd"/>
      <w:r w:rsidR="006B6A23" w:rsidRPr="003F5BA5">
        <w:rPr>
          <w:sz w:val="22"/>
          <w:szCs w:val="22"/>
        </w:rPr>
        <w:t xml:space="preserve"> soit s’intégrer à une mission programmée de l’AFD.</w:t>
      </w:r>
    </w:p>
    <w:p w14:paraId="0FD7865D" w14:textId="07458961" w:rsidR="00D86ABF" w:rsidRPr="00EB468C" w:rsidRDefault="00D86ABF" w:rsidP="00D86ABF">
      <w:pPr>
        <w:jc w:val="both"/>
        <w:rPr>
          <w:sz w:val="22"/>
          <w:szCs w:val="22"/>
        </w:rPr>
      </w:pPr>
    </w:p>
    <w:p w14:paraId="5A4A4DD0" w14:textId="492869E9" w:rsidR="00D86ABF" w:rsidRPr="00EB468C" w:rsidRDefault="00D86ABF" w:rsidP="00D86ABF">
      <w:pPr>
        <w:jc w:val="both"/>
        <w:rPr>
          <w:sz w:val="22"/>
          <w:szCs w:val="22"/>
        </w:rPr>
      </w:pPr>
      <w:r w:rsidRPr="00EB468C">
        <w:rPr>
          <w:sz w:val="22"/>
          <w:szCs w:val="22"/>
        </w:rPr>
        <w:t>L</w:t>
      </w:r>
      <w:r w:rsidR="00C34DF5" w:rsidRPr="00EB468C">
        <w:rPr>
          <w:sz w:val="22"/>
          <w:szCs w:val="22"/>
        </w:rPr>
        <w:t>’</w:t>
      </w:r>
      <w:proofErr w:type="spellStart"/>
      <w:r w:rsidR="00C34DF5" w:rsidRPr="00EB468C">
        <w:rPr>
          <w:sz w:val="22"/>
          <w:szCs w:val="22"/>
        </w:rPr>
        <w:t>expert.e</w:t>
      </w:r>
      <w:proofErr w:type="spellEnd"/>
      <w:r w:rsidR="00C34DF5" w:rsidRPr="00EB468C">
        <w:rPr>
          <w:sz w:val="22"/>
          <w:szCs w:val="22"/>
        </w:rPr>
        <w:t xml:space="preserve"> </w:t>
      </w:r>
      <w:r w:rsidRPr="00EB468C">
        <w:rPr>
          <w:sz w:val="22"/>
          <w:szCs w:val="22"/>
        </w:rPr>
        <w:t xml:space="preserve">sera </w:t>
      </w:r>
      <w:proofErr w:type="spellStart"/>
      <w:proofErr w:type="gramStart"/>
      <w:r w:rsidRPr="00EB468C">
        <w:rPr>
          <w:sz w:val="22"/>
          <w:szCs w:val="22"/>
        </w:rPr>
        <w:t>soumis</w:t>
      </w:r>
      <w:r w:rsidR="000E1C07" w:rsidRPr="00EB468C">
        <w:rPr>
          <w:sz w:val="22"/>
          <w:szCs w:val="22"/>
        </w:rPr>
        <w:t>.e</w:t>
      </w:r>
      <w:proofErr w:type="spellEnd"/>
      <w:proofErr w:type="gramEnd"/>
      <w:r w:rsidRPr="00EB468C">
        <w:rPr>
          <w:sz w:val="22"/>
          <w:szCs w:val="22"/>
        </w:rPr>
        <w:t xml:space="preserve"> aux règles </w:t>
      </w:r>
      <w:r w:rsidR="00C34DF5" w:rsidRPr="00EB468C">
        <w:rPr>
          <w:sz w:val="22"/>
          <w:szCs w:val="22"/>
        </w:rPr>
        <w:t xml:space="preserve">du </w:t>
      </w:r>
      <w:r w:rsidR="006B6A23">
        <w:rPr>
          <w:sz w:val="22"/>
          <w:szCs w:val="22"/>
        </w:rPr>
        <w:t xml:space="preserve">prestataire </w:t>
      </w:r>
      <w:r w:rsidRPr="00EB468C">
        <w:rPr>
          <w:sz w:val="22"/>
          <w:szCs w:val="22"/>
        </w:rPr>
        <w:t>en matière de sécurité et notamment lors des missions sauf dans le cas où il</w:t>
      </w:r>
      <w:r w:rsidR="00C34DF5" w:rsidRPr="00EB468C">
        <w:rPr>
          <w:sz w:val="22"/>
          <w:szCs w:val="22"/>
        </w:rPr>
        <w:t>/elle</w:t>
      </w:r>
      <w:r w:rsidRPr="00EB468C">
        <w:rPr>
          <w:sz w:val="22"/>
          <w:szCs w:val="22"/>
        </w:rPr>
        <w:t xml:space="preserve"> est </w:t>
      </w:r>
      <w:proofErr w:type="spellStart"/>
      <w:r w:rsidR="00C34DF5" w:rsidRPr="00EB468C">
        <w:rPr>
          <w:sz w:val="22"/>
          <w:szCs w:val="22"/>
        </w:rPr>
        <w:t>intégré.e</w:t>
      </w:r>
      <w:proofErr w:type="spellEnd"/>
      <w:r w:rsidR="00C34DF5" w:rsidRPr="00EB468C">
        <w:rPr>
          <w:sz w:val="22"/>
          <w:szCs w:val="22"/>
        </w:rPr>
        <w:t xml:space="preserve"> à une mission de l’AFD</w:t>
      </w:r>
      <w:r w:rsidRPr="00EB468C">
        <w:rPr>
          <w:sz w:val="22"/>
          <w:szCs w:val="22"/>
        </w:rPr>
        <w:t>.</w:t>
      </w:r>
    </w:p>
    <w:p w14:paraId="3782CA82" w14:textId="77777777" w:rsidR="00D86ABF" w:rsidRPr="00EB468C" w:rsidRDefault="00D86ABF" w:rsidP="00D86ABF">
      <w:pPr>
        <w:jc w:val="both"/>
        <w:rPr>
          <w:sz w:val="22"/>
          <w:szCs w:val="22"/>
        </w:rPr>
      </w:pPr>
    </w:p>
    <w:p w14:paraId="2F9FC0A8" w14:textId="00238F2F" w:rsidR="00D86ABF" w:rsidRPr="00EB468C" w:rsidRDefault="00D86ABF" w:rsidP="00D86ABF">
      <w:pPr>
        <w:jc w:val="both"/>
        <w:rPr>
          <w:sz w:val="22"/>
          <w:szCs w:val="22"/>
        </w:rPr>
      </w:pPr>
      <w:r w:rsidRPr="00EB468C">
        <w:rPr>
          <w:sz w:val="22"/>
          <w:szCs w:val="22"/>
        </w:rPr>
        <w:t xml:space="preserve">Le </w:t>
      </w:r>
      <w:r w:rsidR="006B6A23">
        <w:rPr>
          <w:sz w:val="22"/>
          <w:szCs w:val="22"/>
        </w:rPr>
        <w:t xml:space="preserve">prestataire </w:t>
      </w:r>
      <w:r w:rsidRPr="00EB468C">
        <w:rPr>
          <w:sz w:val="22"/>
          <w:szCs w:val="22"/>
        </w:rPr>
        <w:t>devra fournir une offre technique et financière comprenant des éléments de méthodologie, un chronogramme ainsi qu’un CV. L’offre financière devra contenir le détail de la rémunération ainsi que les frais associés notamment pour les missions et prévoir u</w:t>
      </w:r>
      <w:r w:rsidR="00C34DF5" w:rsidRPr="00EB468C">
        <w:rPr>
          <w:sz w:val="22"/>
          <w:szCs w:val="22"/>
        </w:rPr>
        <w:t>n budget cohérent pour assurer l</w:t>
      </w:r>
      <w:r w:rsidRPr="00EB468C">
        <w:rPr>
          <w:sz w:val="22"/>
          <w:szCs w:val="22"/>
        </w:rPr>
        <w:t xml:space="preserve">a sécurité </w:t>
      </w:r>
      <w:r w:rsidR="00C34DF5" w:rsidRPr="00EB468C">
        <w:rPr>
          <w:sz w:val="22"/>
          <w:szCs w:val="22"/>
        </w:rPr>
        <w:t xml:space="preserve">de </w:t>
      </w:r>
      <w:proofErr w:type="gramStart"/>
      <w:r w:rsidR="00C34DF5" w:rsidRPr="00EB468C">
        <w:rPr>
          <w:sz w:val="22"/>
          <w:szCs w:val="22"/>
        </w:rPr>
        <w:t>l’expert.e</w:t>
      </w:r>
      <w:proofErr w:type="gramEnd"/>
      <w:r w:rsidR="00C34DF5" w:rsidRPr="00EB468C">
        <w:rPr>
          <w:sz w:val="22"/>
          <w:szCs w:val="22"/>
        </w:rPr>
        <w:t xml:space="preserve"> </w:t>
      </w:r>
      <w:r w:rsidRPr="00EB468C">
        <w:rPr>
          <w:sz w:val="22"/>
          <w:szCs w:val="22"/>
        </w:rPr>
        <w:t xml:space="preserve">au regard de ses procédures sur le lieu de la mission et lors des déplacements en région. </w:t>
      </w:r>
      <w:r w:rsidR="00F842A2" w:rsidRPr="00EB468C">
        <w:rPr>
          <w:sz w:val="22"/>
          <w:szCs w:val="22"/>
        </w:rPr>
        <w:t>Le cas échéant, le pourcentage des frais de gestion appliqué par le Cabinet devra être clairement mentionné dans l’offre.</w:t>
      </w:r>
    </w:p>
    <w:p w14:paraId="1EAEC84C" w14:textId="77777777" w:rsidR="00C34DF5" w:rsidRPr="00EB468C" w:rsidRDefault="00C34DF5" w:rsidP="00C34DF5">
      <w:pPr>
        <w:spacing w:line="240" w:lineRule="auto"/>
        <w:jc w:val="both"/>
        <w:rPr>
          <w:i/>
          <w:sz w:val="22"/>
          <w:szCs w:val="22"/>
        </w:rPr>
      </w:pPr>
    </w:p>
    <w:p w14:paraId="607C30E2" w14:textId="6F38BDD6" w:rsidR="00D86ABF" w:rsidRPr="00EB468C" w:rsidRDefault="00F842A2" w:rsidP="00EB468C">
      <w:pPr>
        <w:pStyle w:val="Titre1"/>
        <w:spacing w:line="240" w:lineRule="auto"/>
        <w:ind w:firstLine="709"/>
        <w:rPr>
          <w:b/>
          <w:i w:val="0"/>
          <w:sz w:val="22"/>
          <w:szCs w:val="22"/>
          <w:u w:val="single"/>
        </w:rPr>
      </w:pPr>
      <w:r w:rsidRPr="00EB468C">
        <w:rPr>
          <w:b/>
          <w:i w:val="0"/>
          <w:sz w:val="22"/>
          <w:szCs w:val="22"/>
          <w:u w:val="single"/>
        </w:rPr>
        <w:lastRenderedPageBreak/>
        <w:t>PROFIL</w:t>
      </w:r>
      <w:r w:rsidR="00D86ABF" w:rsidRPr="00EB468C">
        <w:rPr>
          <w:b/>
          <w:i w:val="0"/>
          <w:sz w:val="22"/>
          <w:szCs w:val="22"/>
          <w:u w:val="single"/>
        </w:rPr>
        <w:t xml:space="preserve"> </w:t>
      </w:r>
      <w:r w:rsidR="00892F50">
        <w:rPr>
          <w:b/>
          <w:i w:val="0"/>
          <w:sz w:val="22"/>
          <w:szCs w:val="22"/>
          <w:u w:val="single"/>
        </w:rPr>
        <w:t xml:space="preserve">ET COMPETENCES ATTENDUS </w:t>
      </w:r>
    </w:p>
    <w:p w14:paraId="176C49D0" w14:textId="77777777" w:rsidR="00D86ABF" w:rsidRPr="00EB468C" w:rsidRDefault="00D86ABF" w:rsidP="00D86ABF">
      <w:pPr>
        <w:rPr>
          <w:sz w:val="22"/>
          <w:szCs w:val="22"/>
        </w:rPr>
      </w:pPr>
    </w:p>
    <w:p w14:paraId="4C3E2F3B" w14:textId="77777777" w:rsidR="00346CD3" w:rsidRPr="00346CD3" w:rsidRDefault="00346CD3" w:rsidP="00346CD3">
      <w:pPr>
        <w:spacing w:line="240" w:lineRule="auto"/>
        <w:jc w:val="both"/>
        <w:rPr>
          <w:sz w:val="22"/>
          <w:szCs w:val="22"/>
        </w:rPr>
      </w:pPr>
      <w:r w:rsidRPr="00346CD3">
        <w:rPr>
          <w:sz w:val="22"/>
          <w:szCs w:val="22"/>
        </w:rPr>
        <w:t>L’</w:t>
      </w:r>
      <w:proofErr w:type="spellStart"/>
      <w:r w:rsidRPr="00346CD3">
        <w:rPr>
          <w:sz w:val="22"/>
          <w:szCs w:val="22"/>
        </w:rPr>
        <w:t>expert.e</w:t>
      </w:r>
      <w:proofErr w:type="spellEnd"/>
      <w:r w:rsidRPr="00346CD3">
        <w:rPr>
          <w:sz w:val="22"/>
          <w:szCs w:val="22"/>
        </w:rPr>
        <w:t xml:space="preserve"> devra justifier des expériences, compétences et connaissances suivantes :</w:t>
      </w:r>
    </w:p>
    <w:p w14:paraId="3DD9A54C" w14:textId="77777777" w:rsidR="00346CD3" w:rsidRDefault="00346CD3" w:rsidP="00346CD3">
      <w:pPr>
        <w:numPr>
          <w:ilvl w:val="0"/>
          <w:numId w:val="62"/>
        </w:numPr>
        <w:spacing w:line="240" w:lineRule="auto"/>
        <w:jc w:val="both"/>
        <w:rPr>
          <w:sz w:val="22"/>
          <w:szCs w:val="22"/>
        </w:rPr>
      </w:pPr>
      <w:r w:rsidRPr="00346CD3">
        <w:rPr>
          <w:sz w:val="22"/>
          <w:szCs w:val="22"/>
        </w:rPr>
        <w:t>Au moins 10 ans d’expérience professionnelle dans la mise en œuvre, le suivi opérationnel ou l’appui à la gestion de programmes et projets de développement financés par des bailleurs internationaux, en particulier dans les secteurs de l’éducation, de la formation ou des secteurs sociaux en Afrique subsaharienne.</w:t>
      </w:r>
    </w:p>
    <w:p w14:paraId="08A6BBF6" w14:textId="65C47C19" w:rsidR="00346CD3" w:rsidRPr="00346CD3" w:rsidRDefault="00346CD3" w:rsidP="00346CD3">
      <w:pPr>
        <w:numPr>
          <w:ilvl w:val="0"/>
          <w:numId w:val="62"/>
        </w:numPr>
        <w:spacing w:line="240" w:lineRule="auto"/>
        <w:jc w:val="both"/>
        <w:rPr>
          <w:sz w:val="22"/>
          <w:szCs w:val="22"/>
        </w:rPr>
      </w:pPr>
      <w:r w:rsidRPr="00346CD3">
        <w:rPr>
          <w:sz w:val="22"/>
          <w:szCs w:val="22"/>
        </w:rPr>
        <w:t>Une expérience préalable à Madagascar sera considérée comme un atout majeur.</w:t>
      </w:r>
    </w:p>
    <w:p w14:paraId="7F857174" w14:textId="4CDC6114" w:rsidR="00346CD3" w:rsidRPr="00346CD3" w:rsidRDefault="00346CD3" w:rsidP="00346CD3">
      <w:pPr>
        <w:numPr>
          <w:ilvl w:val="0"/>
          <w:numId w:val="62"/>
        </w:numPr>
        <w:spacing w:line="240" w:lineRule="auto"/>
        <w:jc w:val="both"/>
        <w:rPr>
          <w:sz w:val="22"/>
          <w:szCs w:val="22"/>
        </w:rPr>
      </w:pPr>
      <w:r>
        <w:rPr>
          <w:sz w:val="22"/>
          <w:szCs w:val="22"/>
        </w:rPr>
        <w:t xml:space="preserve">Bonne connaissance en </w:t>
      </w:r>
      <w:r w:rsidRPr="00346CD3">
        <w:rPr>
          <w:sz w:val="22"/>
          <w:szCs w:val="22"/>
        </w:rPr>
        <w:t>passation des marchés publics, la gestion contractuelle ou les procédures d’acquisition dans le cadre de projets financés par des bailleurs internationaux (AFD, UE, Banque mondiale, agences des Nations Unies, etc.).</w:t>
      </w:r>
    </w:p>
    <w:p w14:paraId="3D5E6BF9" w14:textId="77777777" w:rsidR="00346CD3" w:rsidRPr="00346CD3" w:rsidRDefault="00346CD3" w:rsidP="00346CD3">
      <w:pPr>
        <w:numPr>
          <w:ilvl w:val="0"/>
          <w:numId w:val="62"/>
        </w:numPr>
        <w:spacing w:line="240" w:lineRule="auto"/>
        <w:jc w:val="both"/>
        <w:rPr>
          <w:sz w:val="22"/>
          <w:szCs w:val="22"/>
        </w:rPr>
      </w:pPr>
      <w:r w:rsidRPr="00346CD3">
        <w:rPr>
          <w:sz w:val="22"/>
          <w:szCs w:val="22"/>
        </w:rPr>
        <w:t xml:space="preserve">Bonne connaissance des mécanismes de financement sectoriel et des dispositifs de type Fonds Commun ou programmes </w:t>
      </w:r>
      <w:proofErr w:type="spellStart"/>
      <w:r w:rsidRPr="00346CD3">
        <w:rPr>
          <w:sz w:val="22"/>
          <w:szCs w:val="22"/>
        </w:rPr>
        <w:t>multi-partenaires</w:t>
      </w:r>
      <w:proofErr w:type="spellEnd"/>
      <w:r w:rsidRPr="00346CD3">
        <w:rPr>
          <w:sz w:val="22"/>
          <w:szCs w:val="22"/>
        </w:rPr>
        <w:t>.</w:t>
      </w:r>
    </w:p>
    <w:p w14:paraId="6A60FA9C" w14:textId="77777777" w:rsidR="00346CD3" w:rsidRPr="00346CD3" w:rsidRDefault="00346CD3" w:rsidP="00346CD3">
      <w:pPr>
        <w:numPr>
          <w:ilvl w:val="0"/>
          <w:numId w:val="62"/>
        </w:numPr>
        <w:spacing w:line="240" w:lineRule="auto"/>
        <w:jc w:val="both"/>
        <w:rPr>
          <w:sz w:val="22"/>
          <w:szCs w:val="22"/>
        </w:rPr>
      </w:pPr>
      <w:r w:rsidRPr="00346CD3">
        <w:rPr>
          <w:sz w:val="22"/>
          <w:szCs w:val="22"/>
        </w:rPr>
        <w:t>Une expérience préalable avec l’AFD ou dans la mise en œuvre de fonds délégués de l’Union européenne constituera un atout important.</w:t>
      </w:r>
    </w:p>
    <w:p w14:paraId="257B13A2" w14:textId="77777777" w:rsidR="00346CD3" w:rsidRPr="00346CD3" w:rsidRDefault="00346CD3" w:rsidP="00346CD3">
      <w:pPr>
        <w:numPr>
          <w:ilvl w:val="0"/>
          <w:numId w:val="62"/>
        </w:numPr>
        <w:spacing w:line="240" w:lineRule="auto"/>
        <w:jc w:val="both"/>
        <w:rPr>
          <w:sz w:val="22"/>
          <w:szCs w:val="22"/>
        </w:rPr>
      </w:pPr>
      <w:r w:rsidRPr="00346CD3">
        <w:rPr>
          <w:sz w:val="22"/>
          <w:szCs w:val="22"/>
        </w:rPr>
        <w:t>Diplôme d’enseignement supérieur (niveau master ou équivalent) dans un domaine pertinent : développement, gestion de projet, économie, sciences sociales, gestion publique ou domaines équivalents.</w:t>
      </w:r>
    </w:p>
    <w:p w14:paraId="7DACE2F9" w14:textId="77777777" w:rsidR="00346CD3" w:rsidRPr="00346CD3" w:rsidRDefault="00346CD3" w:rsidP="00346CD3">
      <w:pPr>
        <w:numPr>
          <w:ilvl w:val="0"/>
          <w:numId w:val="62"/>
        </w:numPr>
        <w:spacing w:line="240" w:lineRule="auto"/>
        <w:jc w:val="both"/>
        <w:rPr>
          <w:sz w:val="22"/>
          <w:szCs w:val="22"/>
        </w:rPr>
      </w:pPr>
      <w:r w:rsidRPr="00346CD3">
        <w:rPr>
          <w:sz w:val="22"/>
          <w:szCs w:val="22"/>
        </w:rPr>
        <w:t>Expérience confirmée de travail avec des administrations publiques, notamment des ministères et services déconcentrés, ainsi que dans des contextes multi-acteurs impliquant partenaires techniques et financiers.</w:t>
      </w:r>
    </w:p>
    <w:p w14:paraId="6C8C6257" w14:textId="77777777" w:rsidR="00346CD3" w:rsidRPr="00346CD3" w:rsidRDefault="00346CD3" w:rsidP="00346CD3">
      <w:pPr>
        <w:numPr>
          <w:ilvl w:val="0"/>
          <w:numId w:val="62"/>
        </w:numPr>
        <w:spacing w:line="240" w:lineRule="auto"/>
        <w:jc w:val="both"/>
        <w:rPr>
          <w:sz w:val="22"/>
          <w:szCs w:val="22"/>
        </w:rPr>
      </w:pPr>
      <w:r w:rsidRPr="00346CD3">
        <w:rPr>
          <w:sz w:val="22"/>
          <w:szCs w:val="22"/>
        </w:rPr>
        <w:t>Des aptitudes avérées au travail en équipe, au dialogue institutionnel et à la facilitation entre parties prenantes.</w:t>
      </w:r>
    </w:p>
    <w:p w14:paraId="60A5956B" w14:textId="77777777" w:rsidR="00346CD3" w:rsidRPr="00346CD3" w:rsidRDefault="00346CD3" w:rsidP="00346CD3">
      <w:pPr>
        <w:numPr>
          <w:ilvl w:val="0"/>
          <w:numId w:val="62"/>
        </w:numPr>
        <w:spacing w:line="240" w:lineRule="auto"/>
        <w:jc w:val="both"/>
        <w:rPr>
          <w:sz w:val="22"/>
          <w:szCs w:val="22"/>
        </w:rPr>
      </w:pPr>
      <w:r w:rsidRPr="00346CD3">
        <w:rPr>
          <w:sz w:val="22"/>
          <w:szCs w:val="22"/>
        </w:rPr>
        <w:t>Parfaite maîtrise du français à l’oral comme à l’écrit (les échanges avec l’AFD et les livrables seront réalisés en français).</w:t>
      </w:r>
    </w:p>
    <w:p w14:paraId="4B6226C7" w14:textId="77777777" w:rsidR="00346CD3" w:rsidRPr="00346CD3" w:rsidRDefault="00346CD3" w:rsidP="00346CD3">
      <w:pPr>
        <w:numPr>
          <w:ilvl w:val="0"/>
          <w:numId w:val="62"/>
        </w:numPr>
        <w:spacing w:line="240" w:lineRule="auto"/>
        <w:jc w:val="both"/>
        <w:rPr>
          <w:sz w:val="22"/>
          <w:szCs w:val="22"/>
        </w:rPr>
      </w:pPr>
      <w:r w:rsidRPr="00346CD3">
        <w:rPr>
          <w:sz w:val="22"/>
          <w:szCs w:val="22"/>
        </w:rPr>
        <w:t>Capacités avérées à s’approprier rapidement son environnement de travail, assurer un appui opérationnel au chef de projet et contribuer à la coordination des activités, avec rigueur, autonomie et adaptabilité.</w:t>
      </w:r>
    </w:p>
    <w:p w14:paraId="7A2A159B" w14:textId="77777777" w:rsidR="00C203F9" w:rsidRDefault="00C203F9" w:rsidP="00D86ABF"/>
    <w:p w14:paraId="3B8BC4F5" w14:textId="77777777" w:rsidR="00F842A2" w:rsidRDefault="00F842A2" w:rsidP="00D86ABF">
      <w:pPr>
        <w:sectPr w:rsidR="00F842A2" w:rsidSect="000F0589">
          <w:pgSz w:w="11900" w:h="16840"/>
          <w:pgMar w:top="1417" w:right="1417" w:bottom="1417" w:left="1134" w:header="708" w:footer="708" w:gutter="0"/>
          <w:cols w:space="720"/>
          <w:docGrid w:linePitch="272"/>
        </w:sectPr>
      </w:pPr>
    </w:p>
    <w:p w14:paraId="7C0FC956" w14:textId="3E31253B" w:rsidR="00C203F9" w:rsidRPr="00EB468C" w:rsidRDefault="00F842A2" w:rsidP="00EB468C">
      <w:pPr>
        <w:spacing w:line="240" w:lineRule="auto"/>
        <w:rPr>
          <w:b/>
          <w:sz w:val="22"/>
          <w:szCs w:val="22"/>
        </w:rPr>
      </w:pPr>
      <w:r w:rsidRPr="00EB468C">
        <w:rPr>
          <w:b/>
          <w:sz w:val="22"/>
          <w:szCs w:val="22"/>
          <w:u w:val="single"/>
        </w:rPr>
        <w:lastRenderedPageBreak/>
        <w:t>Annexe 1 :</w:t>
      </w:r>
      <w:r w:rsidRPr="00EB468C">
        <w:rPr>
          <w:b/>
          <w:sz w:val="22"/>
          <w:szCs w:val="22"/>
        </w:rPr>
        <w:t xml:space="preserve"> </w:t>
      </w:r>
      <w:r w:rsidR="003517FF" w:rsidRPr="00EB468C">
        <w:rPr>
          <w:b/>
          <w:sz w:val="22"/>
          <w:szCs w:val="22"/>
        </w:rPr>
        <w:t>durée et plan indicatif de mise en œuvre</w:t>
      </w:r>
    </w:p>
    <w:p w14:paraId="5032640E" w14:textId="3B8B6BD1" w:rsidR="00F842A2" w:rsidRPr="00EB468C" w:rsidRDefault="00F842A2" w:rsidP="00EB468C">
      <w:pPr>
        <w:spacing w:line="240" w:lineRule="auto"/>
        <w:jc w:val="both"/>
        <w:rPr>
          <w:b/>
          <w:sz w:val="22"/>
          <w:szCs w:val="22"/>
        </w:rPr>
      </w:pPr>
    </w:p>
    <w:p w14:paraId="3D722B20" w14:textId="77777777" w:rsidR="003517FF" w:rsidRPr="00EB468C" w:rsidRDefault="003517FF" w:rsidP="00EB468C">
      <w:pPr>
        <w:suppressAutoHyphens/>
        <w:spacing w:line="240" w:lineRule="auto"/>
        <w:ind w:leftChars="-1" w:hangingChars="1" w:hanging="2"/>
        <w:jc w:val="both"/>
        <w:textDirection w:val="btLr"/>
        <w:textAlignment w:val="top"/>
        <w:outlineLvl w:val="0"/>
        <w:rPr>
          <w:position w:val="-1"/>
          <w:sz w:val="22"/>
          <w:szCs w:val="22"/>
          <w:lang w:eastAsia="en-GB"/>
        </w:rPr>
      </w:pPr>
      <w:r w:rsidRPr="00EB468C">
        <w:rPr>
          <w:position w:val="-1"/>
          <w:sz w:val="22"/>
          <w:szCs w:val="22"/>
          <w:lang w:eastAsia="en-GB"/>
        </w:rPr>
        <w:t xml:space="preserve">La période de mise en œuvre opérationnelle de la présente action, durant laquelle les activités seront réalisées et les contrats et conventions correspondants mis en œuvre, est </w:t>
      </w:r>
      <w:sdt>
        <w:sdtPr>
          <w:rPr>
            <w:position w:val="-1"/>
            <w:sz w:val="22"/>
            <w:szCs w:val="22"/>
            <w:lang w:val="en-GB" w:eastAsia="en-GB"/>
          </w:rPr>
          <w:tag w:val="goog_rdk_1"/>
          <w:id w:val="-530184585"/>
        </w:sdtPr>
        <w:sdtEndPr/>
        <w:sdtContent/>
      </w:sdt>
      <w:r w:rsidRPr="00EB468C">
        <w:rPr>
          <w:position w:val="-1"/>
          <w:sz w:val="22"/>
          <w:szCs w:val="22"/>
          <w:lang w:eastAsia="en-GB"/>
        </w:rPr>
        <w:t>de 72 mois. Dans la logique d’une montée en puissance progressive, les versements au FCE s’étaleront sur les 6 années avec une trajectoire ascendante.</w:t>
      </w:r>
    </w:p>
    <w:p w14:paraId="5FED485C" w14:textId="77777777" w:rsidR="003517FF" w:rsidRPr="003517FF" w:rsidRDefault="003517FF" w:rsidP="003517FF">
      <w:pPr>
        <w:suppressAutoHyphens/>
        <w:spacing w:line="240" w:lineRule="auto"/>
        <w:ind w:leftChars="-1" w:hangingChars="1" w:hanging="2"/>
        <w:jc w:val="both"/>
        <w:textDirection w:val="btLr"/>
        <w:textAlignment w:val="top"/>
        <w:outlineLvl w:val="0"/>
        <w:rPr>
          <w:position w:val="-1"/>
          <w:szCs w:val="20"/>
          <w:lang w:eastAsia="en-GB"/>
        </w:rPr>
      </w:pPr>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285"/>
        <w:gridCol w:w="1035"/>
        <w:gridCol w:w="870"/>
        <w:gridCol w:w="870"/>
        <w:gridCol w:w="870"/>
        <w:gridCol w:w="870"/>
        <w:gridCol w:w="960"/>
        <w:gridCol w:w="870"/>
      </w:tblGrid>
      <w:tr w:rsidR="003517FF" w:rsidRPr="003517FF" w14:paraId="1C60FFB6" w14:textId="77777777" w:rsidTr="003517FF">
        <w:trPr>
          <w:trHeight w:val="332"/>
          <w:jc w:val="center"/>
        </w:trPr>
        <w:tc>
          <w:tcPr>
            <w:tcW w:w="328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CFDD42E"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1035" w:type="dxa"/>
            <w:tcBorders>
              <w:top w:val="single" w:sz="8" w:space="0" w:color="000000"/>
              <w:bottom w:val="single" w:sz="8" w:space="0" w:color="000000"/>
              <w:right w:val="single" w:sz="8" w:space="0" w:color="000000"/>
            </w:tcBorders>
            <w:tcMar>
              <w:top w:w="0" w:type="dxa"/>
              <w:left w:w="100" w:type="dxa"/>
              <w:bottom w:w="0" w:type="dxa"/>
              <w:right w:w="100" w:type="dxa"/>
            </w:tcMar>
          </w:tcPr>
          <w:p w14:paraId="20C1ABA0" w14:textId="77777777" w:rsidR="003517FF" w:rsidRPr="00585F62" w:rsidRDefault="003517FF" w:rsidP="003517FF">
            <w:pPr>
              <w:suppressAutoHyphens/>
              <w:spacing w:after="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Année N-1</w:t>
            </w:r>
          </w:p>
          <w:p w14:paraId="40E1D478" w14:textId="77777777" w:rsidR="003517FF" w:rsidRPr="00585F62" w:rsidRDefault="003517FF" w:rsidP="003517FF">
            <w:pPr>
              <w:suppressAutoHyphens/>
              <w:spacing w:after="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(2024)</w:t>
            </w:r>
          </w:p>
        </w:tc>
        <w:tc>
          <w:tcPr>
            <w:tcW w:w="870" w:type="dxa"/>
            <w:tcBorders>
              <w:top w:val="single" w:sz="8" w:space="0" w:color="000000"/>
              <w:bottom w:val="single" w:sz="8" w:space="0" w:color="000000"/>
              <w:right w:val="single" w:sz="8" w:space="0" w:color="000000"/>
            </w:tcBorders>
            <w:tcMar>
              <w:top w:w="0" w:type="dxa"/>
              <w:left w:w="100" w:type="dxa"/>
              <w:bottom w:w="0" w:type="dxa"/>
              <w:right w:w="100" w:type="dxa"/>
            </w:tcMar>
          </w:tcPr>
          <w:p w14:paraId="32A0D40A" w14:textId="77777777" w:rsidR="003517FF" w:rsidRPr="00585F62" w:rsidRDefault="003517FF" w:rsidP="003517FF">
            <w:pPr>
              <w:suppressAutoHyphens/>
              <w:spacing w:after="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Année 1</w:t>
            </w:r>
          </w:p>
          <w:p w14:paraId="5EF3524E" w14:textId="77777777" w:rsidR="003517FF" w:rsidRPr="00585F62" w:rsidRDefault="003517FF" w:rsidP="003517FF">
            <w:pPr>
              <w:suppressAutoHyphens/>
              <w:spacing w:before="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(2025)</w:t>
            </w:r>
          </w:p>
        </w:tc>
        <w:tc>
          <w:tcPr>
            <w:tcW w:w="870" w:type="dxa"/>
            <w:tcBorders>
              <w:top w:val="single" w:sz="8" w:space="0" w:color="000000"/>
              <w:bottom w:val="single" w:sz="8" w:space="0" w:color="000000"/>
              <w:right w:val="single" w:sz="8" w:space="0" w:color="000000"/>
            </w:tcBorders>
            <w:tcMar>
              <w:top w:w="0" w:type="dxa"/>
              <w:left w:w="100" w:type="dxa"/>
              <w:bottom w:w="0" w:type="dxa"/>
              <w:right w:w="100" w:type="dxa"/>
            </w:tcMar>
          </w:tcPr>
          <w:p w14:paraId="37A96FE6" w14:textId="77777777" w:rsidR="003517FF" w:rsidRPr="00585F62" w:rsidRDefault="003517FF" w:rsidP="003517FF">
            <w:pPr>
              <w:suppressAutoHyphens/>
              <w:spacing w:after="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Année 2</w:t>
            </w:r>
          </w:p>
          <w:p w14:paraId="7A36A42A" w14:textId="77777777" w:rsidR="003517FF" w:rsidRPr="00585F62" w:rsidRDefault="003517FF" w:rsidP="003517FF">
            <w:pPr>
              <w:suppressAutoHyphens/>
              <w:spacing w:before="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(2026)</w:t>
            </w:r>
          </w:p>
        </w:tc>
        <w:tc>
          <w:tcPr>
            <w:tcW w:w="870" w:type="dxa"/>
            <w:tcBorders>
              <w:top w:val="single" w:sz="8" w:space="0" w:color="000000"/>
              <w:bottom w:val="single" w:sz="8" w:space="0" w:color="000000"/>
              <w:right w:val="single" w:sz="8" w:space="0" w:color="000000"/>
            </w:tcBorders>
            <w:tcMar>
              <w:top w:w="0" w:type="dxa"/>
              <w:left w:w="100" w:type="dxa"/>
              <w:bottom w:w="0" w:type="dxa"/>
              <w:right w:w="100" w:type="dxa"/>
            </w:tcMar>
          </w:tcPr>
          <w:p w14:paraId="1D44E8C1" w14:textId="77777777" w:rsidR="003517FF" w:rsidRPr="00585F62" w:rsidRDefault="003517FF" w:rsidP="003517FF">
            <w:pPr>
              <w:suppressAutoHyphens/>
              <w:spacing w:after="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Année 3</w:t>
            </w:r>
          </w:p>
          <w:p w14:paraId="77A1F393" w14:textId="77777777" w:rsidR="003517FF" w:rsidRPr="00585F62" w:rsidRDefault="003517FF" w:rsidP="003517FF">
            <w:pPr>
              <w:suppressAutoHyphens/>
              <w:spacing w:before="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(2027)</w:t>
            </w:r>
          </w:p>
        </w:tc>
        <w:tc>
          <w:tcPr>
            <w:tcW w:w="870" w:type="dxa"/>
            <w:tcBorders>
              <w:top w:val="single" w:sz="8" w:space="0" w:color="000000"/>
              <w:bottom w:val="single" w:sz="8" w:space="0" w:color="000000"/>
              <w:right w:val="single" w:sz="8" w:space="0" w:color="000000"/>
            </w:tcBorders>
            <w:tcMar>
              <w:top w:w="0" w:type="dxa"/>
              <w:left w:w="100" w:type="dxa"/>
              <w:bottom w:w="0" w:type="dxa"/>
              <w:right w:w="100" w:type="dxa"/>
            </w:tcMar>
          </w:tcPr>
          <w:p w14:paraId="1B0A48D6" w14:textId="77777777" w:rsidR="003517FF" w:rsidRPr="00585F62" w:rsidRDefault="003517FF" w:rsidP="003517FF">
            <w:pPr>
              <w:suppressAutoHyphens/>
              <w:spacing w:after="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Année 4</w:t>
            </w:r>
          </w:p>
          <w:p w14:paraId="74990C16" w14:textId="77777777" w:rsidR="003517FF" w:rsidRPr="00585F62" w:rsidRDefault="003517FF" w:rsidP="003517FF">
            <w:pPr>
              <w:suppressAutoHyphens/>
              <w:spacing w:before="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(2028)</w:t>
            </w:r>
          </w:p>
        </w:tc>
        <w:tc>
          <w:tcPr>
            <w:tcW w:w="960" w:type="dxa"/>
            <w:tcBorders>
              <w:top w:val="single" w:sz="8" w:space="0" w:color="000000"/>
              <w:bottom w:val="single" w:sz="8" w:space="0" w:color="000000"/>
              <w:right w:val="single" w:sz="8" w:space="0" w:color="000000"/>
            </w:tcBorders>
            <w:tcMar>
              <w:top w:w="0" w:type="dxa"/>
              <w:left w:w="100" w:type="dxa"/>
              <w:bottom w:w="0" w:type="dxa"/>
              <w:right w:w="100" w:type="dxa"/>
            </w:tcMar>
          </w:tcPr>
          <w:p w14:paraId="2E7199BC" w14:textId="77777777" w:rsidR="003517FF" w:rsidRPr="00585F62" w:rsidRDefault="003517FF" w:rsidP="003517FF">
            <w:pPr>
              <w:suppressAutoHyphens/>
              <w:spacing w:after="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Année 5</w:t>
            </w:r>
          </w:p>
          <w:p w14:paraId="572390F2" w14:textId="77777777" w:rsidR="003517FF" w:rsidRPr="00585F62" w:rsidRDefault="003517FF" w:rsidP="003517FF">
            <w:pPr>
              <w:suppressAutoHyphens/>
              <w:spacing w:before="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(2029)</w:t>
            </w:r>
          </w:p>
        </w:tc>
        <w:tc>
          <w:tcPr>
            <w:tcW w:w="870" w:type="dxa"/>
            <w:tcBorders>
              <w:top w:val="single" w:sz="8" w:space="0" w:color="000000"/>
              <w:bottom w:val="single" w:sz="8" w:space="0" w:color="000000"/>
              <w:right w:val="single" w:sz="8" w:space="0" w:color="000000"/>
            </w:tcBorders>
            <w:tcMar>
              <w:top w:w="0" w:type="dxa"/>
              <w:left w:w="100" w:type="dxa"/>
              <w:bottom w:w="0" w:type="dxa"/>
              <w:right w:w="100" w:type="dxa"/>
            </w:tcMar>
          </w:tcPr>
          <w:p w14:paraId="0A7C70FB" w14:textId="77777777" w:rsidR="003517FF" w:rsidRPr="00585F62" w:rsidRDefault="003517FF" w:rsidP="003517FF">
            <w:pPr>
              <w:suppressAutoHyphens/>
              <w:spacing w:after="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Année 6</w:t>
            </w:r>
          </w:p>
          <w:p w14:paraId="6306F139" w14:textId="77777777" w:rsidR="003517FF" w:rsidRPr="00585F62" w:rsidRDefault="003517FF" w:rsidP="003517FF">
            <w:pPr>
              <w:suppressAutoHyphens/>
              <w:spacing w:before="240" w:line="1" w:lineRule="atLeast"/>
              <w:ind w:leftChars="-1" w:hangingChars="1" w:hanging="2"/>
              <w:jc w:val="center"/>
              <w:textDirection w:val="btLr"/>
              <w:textAlignment w:val="top"/>
              <w:outlineLvl w:val="0"/>
              <w:rPr>
                <w:position w:val="-1"/>
                <w:sz w:val="16"/>
                <w:szCs w:val="16"/>
                <w:lang w:eastAsia="en-GB"/>
              </w:rPr>
            </w:pPr>
            <w:r w:rsidRPr="00585F62">
              <w:rPr>
                <w:position w:val="-1"/>
                <w:sz w:val="16"/>
                <w:szCs w:val="16"/>
                <w:lang w:eastAsia="en-GB"/>
              </w:rPr>
              <w:t>(2030)</w:t>
            </w:r>
          </w:p>
        </w:tc>
      </w:tr>
      <w:tr w:rsidR="003517FF" w:rsidRPr="003517FF" w14:paraId="49E29809" w14:textId="77777777" w:rsidTr="003517FF">
        <w:trPr>
          <w:trHeight w:val="465"/>
          <w:jc w:val="center"/>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503EA117"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Préparation et signature de la convention de contribution UE/AFD</w:t>
            </w:r>
          </w:p>
        </w:tc>
        <w:tc>
          <w:tcPr>
            <w:tcW w:w="1035" w:type="dxa"/>
            <w:tcBorders>
              <w:bottom w:val="single" w:sz="8" w:space="0" w:color="000000"/>
              <w:right w:val="single" w:sz="8" w:space="0" w:color="000000"/>
            </w:tcBorders>
            <w:shd w:val="clear" w:color="auto" w:fill="BFBFBF"/>
            <w:tcMar>
              <w:top w:w="0" w:type="dxa"/>
              <w:left w:w="100" w:type="dxa"/>
              <w:bottom w:w="0" w:type="dxa"/>
              <w:right w:w="100" w:type="dxa"/>
            </w:tcMar>
          </w:tcPr>
          <w:p w14:paraId="0DB6BD22"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368289A9"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48E7D6BC"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0125C8EF"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219A3C1D"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tcMar>
              <w:top w:w="0" w:type="dxa"/>
              <w:left w:w="100" w:type="dxa"/>
              <w:bottom w:w="0" w:type="dxa"/>
              <w:right w:w="100" w:type="dxa"/>
            </w:tcMar>
          </w:tcPr>
          <w:p w14:paraId="3500DC5C"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7D1280C2"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3F40387A" w14:textId="77777777" w:rsidTr="003517FF">
        <w:trPr>
          <w:trHeight w:val="510"/>
          <w:jc w:val="center"/>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14EF75C0"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Préparation de la convention de financement AFD / République de Madagascar et levée des conditions suspensives à la signature</w:t>
            </w:r>
          </w:p>
        </w:tc>
        <w:tc>
          <w:tcPr>
            <w:tcW w:w="1035" w:type="dxa"/>
            <w:tcBorders>
              <w:bottom w:val="single" w:sz="8" w:space="0" w:color="000000"/>
              <w:right w:val="single" w:sz="8" w:space="0" w:color="000000"/>
            </w:tcBorders>
            <w:shd w:val="clear" w:color="auto" w:fill="BFBFBF"/>
            <w:tcMar>
              <w:top w:w="0" w:type="dxa"/>
              <w:left w:w="100" w:type="dxa"/>
              <w:bottom w:w="0" w:type="dxa"/>
              <w:right w:w="100" w:type="dxa"/>
            </w:tcMar>
          </w:tcPr>
          <w:p w14:paraId="4185107B"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28D60E56"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36F0AFF1"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4A9A7AF4"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236BCAA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tcMar>
              <w:top w:w="0" w:type="dxa"/>
              <w:left w:w="100" w:type="dxa"/>
              <w:bottom w:w="0" w:type="dxa"/>
              <w:right w:w="100" w:type="dxa"/>
            </w:tcMar>
          </w:tcPr>
          <w:p w14:paraId="7949D3E9"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205385C9"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51408E2C" w14:textId="77777777" w:rsidTr="003517FF">
        <w:trPr>
          <w:trHeight w:val="330"/>
          <w:jc w:val="center"/>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1DC36C9A"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Signature de la convention de financement AFD / République de Madagascar</w:t>
            </w:r>
          </w:p>
        </w:tc>
        <w:tc>
          <w:tcPr>
            <w:tcW w:w="1035" w:type="dxa"/>
            <w:tcBorders>
              <w:bottom w:val="single" w:sz="8" w:space="0" w:color="000000"/>
              <w:right w:val="single" w:sz="8" w:space="0" w:color="000000"/>
            </w:tcBorders>
            <w:shd w:val="clear" w:color="auto" w:fill="BFBFBF"/>
            <w:tcMar>
              <w:top w:w="0" w:type="dxa"/>
              <w:left w:w="100" w:type="dxa"/>
              <w:bottom w:w="0" w:type="dxa"/>
              <w:right w:w="100" w:type="dxa"/>
            </w:tcMar>
          </w:tcPr>
          <w:p w14:paraId="6D29FFF9"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7F4DDDDA"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6944F1B3"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14F94376"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399DBAC4"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tcMar>
              <w:top w:w="0" w:type="dxa"/>
              <w:left w:w="100" w:type="dxa"/>
              <w:bottom w:w="0" w:type="dxa"/>
              <w:right w:w="100" w:type="dxa"/>
            </w:tcMar>
          </w:tcPr>
          <w:p w14:paraId="7312D42E"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3462E6E4"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08530C22" w14:textId="77777777" w:rsidTr="003517FF">
        <w:trPr>
          <w:trHeight w:val="495"/>
          <w:jc w:val="center"/>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349B038E"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Levée des conditions suspensives au premier versement (dont validation des PAA 2023, inscriptions en loi de Finances)</w:t>
            </w:r>
          </w:p>
        </w:tc>
        <w:tc>
          <w:tcPr>
            <w:tcW w:w="1035" w:type="dxa"/>
            <w:tcBorders>
              <w:bottom w:val="single" w:sz="8" w:space="0" w:color="000000"/>
              <w:right w:val="single" w:sz="8" w:space="0" w:color="000000"/>
            </w:tcBorders>
            <w:shd w:val="clear" w:color="auto" w:fill="BFBFBF"/>
            <w:tcMar>
              <w:top w:w="0" w:type="dxa"/>
              <w:left w:w="100" w:type="dxa"/>
              <w:bottom w:w="0" w:type="dxa"/>
              <w:right w:w="100" w:type="dxa"/>
            </w:tcMar>
          </w:tcPr>
          <w:p w14:paraId="39E422B2"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0013E4C7"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163C5F2B"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251BA2EE"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30464F56"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tcMar>
              <w:top w:w="0" w:type="dxa"/>
              <w:left w:w="100" w:type="dxa"/>
              <w:bottom w:w="0" w:type="dxa"/>
              <w:right w:w="100" w:type="dxa"/>
            </w:tcMar>
          </w:tcPr>
          <w:p w14:paraId="145E5376"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01B498B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58D89037" w14:textId="77777777" w:rsidTr="003517FF">
        <w:trPr>
          <w:trHeight w:val="581"/>
          <w:jc w:val="center"/>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7505268E" w14:textId="77777777" w:rsidR="003517FF" w:rsidRPr="003517FF" w:rsidRDefault="003517FF" w:rsidP="003517FF">
            <w:pPr>
              <w:suppressAutoHyphens/>
              <w:spacing w:after="240"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Validation annuelle des PAA et inscription des crédits dans la loi de Finances</w:t>
            </w:r>
          </w:p>
        </w:tc>
        <w:tc>
          <w:tcPr>
            <w:tcW w:w="1035" w:type="dxa"/>
            <w:tcBorders>
              <w:bottom w:val="single" w:sz="8" w:space="0" w:color="000000"/>
              <w:right w:val="single" w:sz="8" w:space="0" w:color="000000"/>
            </w:tcBorders>
            <w:tcMar>
              <w:top w:w="0" w:type="dxa"/>
              <w:left w:w="100" w:type="dxa"/>
              <w:bottom w:w="0" w:type="dxa"/>
              <w:right w:w="100" w:type="dxa"/>
            </w:tcMar>
          </w:tcPr>
          <w:p w14:paraId="61A4FAE1"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FFD966"/>
            <w:tcMar>
              <w:top w:w="0" w:type="dxa"/>
              <w:left w:w="100" w:type="dxa"/>
              <w:bottom w:w="0" w:type="dxa"/>
              <w:right w:w="100" w:type="dxa"/>
            </w:tcMar>
          </w:tcPr>
          <w:p w14:paraId="11396AA0"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FFD966"/>
            <w:tcMar>
              <w:top w:w="0" w:type="dxa"/>
              <w:left w:w="100" w:type="dxa"/>
              <w:bottom w:w="0" w:type="dxa"/>
              <w:right w:w="100" w:type="dxa"/>
            </w:tcMar>
          </w:tcPr>
          <w:p w14:paraId="62BC2A47"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FFD966"/>
            <w:tcMar>
              <w:top w:w="0" w:type="dxa"/>
              <w:left w:w="100" w:type="dxa"/>
              <w:bottom w:w="0" w:type="dxa"/>
              <w:right w:w="100" w:type="dxa"/>
            </w:tcMar>
          </w:tcPr>
          <w:p w14:paraId="67AEE1CC"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FFD966"/>
            <w:tcMar>
              <w:top w:w="0" w:type="dxa"/>
              <w:left w:w="100" w:type="dxa"/>
              <w:bottom w:w="0" w:type="dxa"/>
              <w:right w:w="100" w:type="dxa"/>
            </w:tcMar>
          </w:tcPr>
          <w:p w14:paraId="3B19408D"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shd w:val="clear" w:color="auto" w:fill="FFD966"/>
            <w:tcMar>
              <w:top w:w="0" w:type="dxa"/>
              <w:left w:w="100" w:type="dxa"/>
              <w:bottom w:w="0" w:type="dxa"/>
              <w:right w:w="100" w:type="dxa"/>
            </w:tcMar>
          </w:tcPr>
          <w:p w14:paraId="52CE3B36"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4CC2663A"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7B1C192F" w14:textId="77777777" w:rsidTr="003517FF">
        <w:trPr>
          <w:trHeight w:val="273"/>
          <w:jc w:val="center"/>
        </w:trPr>
        <w:tc>
          <w:tcPr>
            <w:tcW w:w="3285" w:type="dxa"/>
            <w:tcBorders>
              <w:left w:val="single" w:sz="8" w:space="0" w:color="000000"/>
              <w:bottom w:val="single" w:sz="8" w:space="0" w:color="000000"/>
              <w:right w:val="single" w:sz="8" w:space="0" w:color="000000"/>
            </w:tcBorders>
            <w:tcMar>
              <w:top w:w="0" w:type="dxa"/>
              <w:left w:w="100" w:type="dxa"/>
              <w:bottom w:w="0" w:type="dxa"/>
              <w:right w:w="100" w:type="dxa"/>
            </w:tcMar>
          </w:tcPr>
          <w:p w14:paraId="07218352" w14:textId="77777777" w:rsidR="003517FF" w:rsidRPr="003517FF" w:rsidRDefault="003517FF" w:rsidP="003517FF">
            <w:pPr>
              <w:suppressAutoHyphens/>
              <w:spacing w:after="240" w:line="1" w:lineRule="atLeast"/>
              <w:ind w:leftChars="-1" w:hangingChars="1" w:hanging="2"/>
              <w:jc w:val="both"/>
              <w:textDirection w:val="btLr"/>
              <w:textAlignment w:val="top"/>
              <w:outlineLvl w:val="0"/>
              <w:rPr>
                <w:position w:val="-1"/>
                <w:sz w:val="16"/>
                <w:szCs w:val="16"/>
                <w:lang w:val="fr-BE" w:eastAsia="en-GB"/>
              </w:rPr>
            </w:pPr>
            <w:r w:rsidRPr="003517FF">
              <w:rPr>
                <w:position w:val="-1"/>
                <w:sz w:val="16"/>
                <w:szCs w:val="16"/>
                <w:lang w:val="fr-BE" w:eastAsia="en-GB"/>
              </w:rPr>
              <w:t>Validation des plans de passation de marchés (PPM)</w:t>
            </w:r>
          </w:p>
        </w:tc>
        <w:tc>
          <w:tcPr>
            <w:tcW w:w="1035" w:type="dxa"/>
            <w:tcBorders>
              <w:bottom w:val="single" w:sz="8" w:space="0" w:color="000000"/>
              <w:right w:val="single" w:sz="8" w:space="0" w:color="000000"/>
            </w:tcBorders>
            <w:tcMar>
              <w:top w:w="0" w:type="dxa"/>
              <w:left w:w="100" w:type="dxa"/>
              <w:bottom w:w="0" w:type="dxa"/>
              <w:right w:w="100" w:type="dxa"/>
            </w:tcMar>
          </w:tcPr>
          <w:p w14:paraId="2BB7A580"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val="fr-BE" w:eastAsia="en-GB"/>
              </w:rPr>
            </w:pPr>
            <w:r w:rsidRPr="003517FF">
              <w:rPr>
                <w:position w:val="-1"/>
                <w:sz w:val="16"/>
                <w:szCs w:val="16"/>
                <w:lang w:val="fr-BE" w:eastAsia="en-GB"/>
              </w:rPr>
              <w:t xml:space="preserve"> </w:t>
            </w:r>
          </w:p>
        </w:tc>
        <w:tc>
          <w:tcPr>
            <w:tcW w:w="870" w:type="dxa"/>
            <w:tcBorders>
              <w:bottom w:val="single" w:sz="8" w:space="0" w:color="000000"/>
              <w:right w:val="single" w:sz="8" w:space="0" w:color="000000"/>
            </w:tcBorders>
            <w:shd w:val="clear" w:color="auto" w:fill="FFD966"/>
            <w:tcMar>
              <w:top w:w="0" w:type="dxa"/>
              <w:left w:w="100" w:type="dxa"/>
              <w:bottom w:w="0" w:type="dxa"/>
              <w:right w:w="100" w:type="dxa"/>
            </w:tcMar>
          </w:tcPr>
          <w:p w14:paraId="3F54E8A1"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val="fr-BE" w:eastAsia="en-GB"/>
              </w:rPr>
            </w:pPr>
            <w:r w:rsidRPr="003517FF">
              <w:rPr>
                <w:position w:val="-1"/>
                <w:sz w:val="16"/>
                <w:szCs w:val="16"/>
                <w:lang w:val="fr-BE" w:eastAsia="en-GB"/>
              </w:rPr>
              <w:t xml:space="preserve"> </w:t>
            </w:r>
          </w:p>
        </w:tc>
        <w:tc>
          <w:tcPr>
            <w:tcW w:w="870" w:type="dxa"/>
            <w:tcBorders>
              <w:bottom w:val="single" w:sz="8" w:space="0" w:color="000000"/>
              <w:right w:val="single" w:sz="8" w:space="0" w:color="000000"/>
            </w:tcBorders>
            <w:shd w:val="clear" w:color="auto" w:fill="FFD966"/>
            <w:tcMar>
              <w:top w:w="0" w:type="dxa"/>
              <w:left w:w="100" w:type="dxa"/>
              <w:bottom w:w="0" w:type="dxa"/>
              <w:right w:w="100" w:type="dxa"/>
            </w:tcMar>
          </w:tcPr>
          <w:p w14:paraId="376D4D1E"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val="fr-BE" w:eastAsia="en-GB"/>
              </w:rPr>
            </w:pPr>
            <w:r w:rsidRPr="003517FF">
              <w:rPr>
                <w:position w:val="-1"/>
                <w:sz w:val="16"/>
                <w:szCs w:val="16"/>
                <w:lang w:val="fr-BE" w:eastAsia="en-GB"/>
              </w:rPr>
              <w:t xml:space="preserve"> </w:t>
            </w:r>
          </w:p>
        </w:tc>
        <w:tc>
          <w:tcPr>
            <w:tcW w:w="870" w:type="dxa"/>
            <w:tcBorders>
              <w:bottom w:val="single" w:sz="8" w:space="0" w:color="000000"/>
              <w:right w:val="single" w:sz="8" w:space="0" w:color="000000"/>
            </w:tcBorders>
            <w:shd w:val="clear" w:color="auto" w:fill="FFD966"/>
            <w:tcMar>
              <w:top w:w="0" w:type="dxa"/>
              <w:left w:w="100" w:type="dxa"/>
              <w:bottom w:w="0" w:type="dxa"/>
              <w:right w:w="100" w:type="dxa"/>
            </w:tcMar>
          </w:tcPr>
          <w:p w14:paraId="77344F90"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val="fr-BE" w:eastAsia="en-GB"/>
              </w:rPr>
            </w:pPr>
            <w:r w:rsidRPr="003517FF">
              <w:rPr>
                <w:position w:val="-1"/>
                <w:sz w:val="16"/>
                <w:szCs w:val="16"/>
                <w:lang w:val="fr-BE" w:eastAsia="en-GB"/>
              </w:rPr>
              <w:t xml:space="preserve"> </w:t>
            </w:r>
          </w:p>
        </w:tc>
        <w:tc>
          <w:tcPr>
            <w:tcW w:w="870" w:type="dxa"/>
            <w:tcBorders>
              <w:bottom w:val="single" w:sz="8" w:space="0" w:color="000000"/>
              <w:right w:val="single" w:sz="8" w:space="0" w:color="000000"/>
            </w:tcBorders>
            <w:shd w:val="clear" w:color="auto" w:fill="FFD966"/>
            <w:tcMar>
              <w:top w:w="0" w:type="dxa"/>
              <w:left w:w="100" w:type="dxa"/>
              <w:bottom w:w="0" w:type="dxa"/>
              <w:right w:w="100" w:type="dxa"/>
            </w:tcMar>
          </w:tcPr>
          <w:p w14:paraId="2CDD351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val="fr-BE" w:eastAsia="en-GB"/>
              </w:rPr>
            </w:pPr>
            <w:r w:rsidRPr="003517FF">
              <w:rPr>
                <w:position w:val="-1"/>
                <w:sz w:val="16"/>
                <w:szCs w:val="16"/>
                <w:lang w:val="fr-BE" w:eastAsia="en-GB"/>
              </w:rPr>
              <w:t xml:space="preserve"> </w:t>
            </w:r>
          </w:p>
        </w:tc>
        <w:tc>
          <w:tcPr>
            <w:tcW w:w="960" w:type="dxa"/>
            <w:tcBorders>
              <w:bottom w:val="single" w:sz="8" w:space="0" w:color="000000"/>
              <w:right w:val="single" w:sz="8" w:space="0" w:color="000000"/>
            </w:tcBorders>
            <w:tcMar>
              <w:top w:w="0" w:type="dxa"/>
              <w:left w:w="100" w:type="dxa"/>
              <w:bottom w:w="0" w:type="dxa"/>
              <w:right w:w="100" w:type="dxa"/>
            </w:tcMar>
          </w:tcPr>
          <w:p w14:paraId="3D4A4484"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val="fr-BE" w:eastAsia="en-GB"/>
              </w:rPr>
            </w:pPr>
            <w:r w:rsidRPr="003517FF">
              <w:rPr>
                <w:position w:val="-1"/>
                <w:sz w:val="16"/>
                <w:szCs w:val="16"/>
                <w:lang w:val="fr-BE" w:eastAsia="en-GB"/>
              </w:rPr>
              <w:t xml:space="preserve"> </w:t>
            </w:r>
          </w:p>
        </w:tc>
        <w:tc>
          <w:tcPr>
            <w:tcW w:w="870" w:type="dxa"/>
            <w:tcBorders>
              <w:bottom w:val="single" w:sz="8" w:space="0" w:color="000000"/>
              <w:right w:val="single" w:sz="8" w:space="0" w:color="000000"/>
            </w:tcBorders>
            <w:tcMar>
              <w:top w:w="0" w:type="dxa"/>
              <w:left w:w="100" w:type="dxa"/>
              <w:bottom w:w="0" w:type="dxa"/>
              <w:right w:w="100" w:type="dxa"/>
            </w:tcMar>
          </w:tcPr>
          <w:p w14:paraId="65334648"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val="fr-BE" w:eastAsia="en-GB"/>
              </w:rPr>
            </w:pPr>
            <w:r w:rsidRPr="003517FF">
              <w:rPr>
                <w:position w:val="-1"/>
                <w:sz w:val="16"/>
                <w:szCs w:val="16"/>
                <w:lang w:val="fr-BE" w:eastAsia="en-GB"/>
              </w:rPr>
              <w:t xml:space="preserve"> </w:t>
            </w:r>
          </w:p>
        </w:tc>
      </w:tr>
      <w:tr w:rsidR="003517FF" w:rsidRPr="003517FF" w14:paraId="7AD0A6BD" w14:textId="77777777" w:rsidTr="003517FF">
        <w:trPr>
          <w:trHeight w:val="240"/>
          <w:jc w:val="center"/>
        </w:trPr>
        <w:tc>
          <w:tcPr>
            <w:tcW w:w="9630" w:type="dxa"/>
            <w:gridSpan w:val="8"/>
            <w:tcBorders>
              <w:left w:val="single" w:sz="8" w:space="0" w:color="000000"/>
              <w:bottom w:val="single" w:sz="8" w:space="0" w:color="000000"/>
              <w:right w:val="single" w:sz="8" w:space="0" w:color="000000"/>
            </w:tcBorders>
            <w:shd w:val="clear" w:color="auto" w:fill="C5E0B3"/>
            <w:tcMar>
              <w:top w:w="0" w:type="dxa"/>
              <w:left w:w="100" w:type="dxa"/>
              <w:bottom w:w="0" w:type="dxa"/>
              <w:right w:w="100" w:type="dxa"/>
            </w:tcMar>
          </w:tcPr>
          <w:p w14:paraId="7FFF28E4"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b/>
                <w:position w:val="-1"/>
                <w:sz w:val="16"/>
                <w:szCs w:val="16"/>
                <w:lang w:eastAsia="en-GB"/>
              </w:rPr>
              <w:t>Composante 1 : Appui à la politique sectorielle éducative via une contribution au FCE</w:t>
            </w:r>
          </w:p>
        </w:tc>
      </w:tr>
      <w:tr w:rsidR="003517FF" w:rsidRPr="003517FF" w14:paraId="4B149A26" w14:textId="77777777" w:rsidTr="003517FF">
        <w:trPr>
          <w:trHeight w:val="566"/>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3199A0DD" w14:textId="77777777" w:rsidR="003517FF" w:rsidRPr="003517FF" w:rsidRDefault="003517FF" w:rsidP="003517FF">
            <w:pPr>
              <w:pBdr>
                <w:top w:val="nil"/>
                <w:left w:val="nil"/>
                <w:bottom w:val="nil"/>
                <w:right w:val="nil"/>
                <w:between w:val="nil"/>
              </w:pBdr>
              <w:suppressAutoHyphens/>
              <w:spacing w:after="240" w:line="240" w:lineRule="auto"/>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Amélioration de l’accès et de la qualité des formations professionnelles selon les exigences des emplois et la perspective genre</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6DBD1008"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091CE34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344771F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33EB9E12"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711BD8C0"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shd w:val="clear" w:color="auto" w:fill="93C47D"/>
            <w:tcMar>
              <w:top w:w="0" w:type="dxa"/>
              <w:left w:w="100" w:type="dxa"/>
              <w:bottom w:w="0" w:type="dxa"/>
              <w:right w:w="100" w:type="dxa"/>
            </w:tcMar>
          </w:tcPr>
          <w:p w14:paraId="54573123"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3005016E"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7978925C" w14:textId="77777777" w:rsidTr="003517FF">
        <w:trPr>
          <w:trHeight w:val="352"/>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706A7EB1" w14:textId="77777777" w:rsidR="003517FF" w:rsidRPr="003517FF" w:rsidRDefault="003517FF" w:rsidP="003517FF">
            <w:pPr>
              <w:pBdr>
                <w:top w:val="nil"/>
                <w:left w:val="nil"/>
                <w:bottom w:val="nil"/>
                <w:right w:val="nil"/>
                <w:between w:val="nil"/>
              </w:pBdr>
              <w:suppressAutoHyphens/>
              <w:spacing w:after="240" w:line="240" w:lineRule="auto"/>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Renforcement des capacités de gestion administrative et financière</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408B32CE"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3728CEE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3395FAAA"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1BBE0C93"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64F51B72"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shd w:val="clear" w:color="auto" w:fill="93C47D"/>
            <w:tcMar>
              <w:top w:w="0" w:type="dxa"/>
              <w:left w:w="100" w:type="dxa"/>
              <w:bottom w:w="0" w:type="dxa"/>
              <w:right w:w="100" w:type="dxa"/>
            </w:tcMar>
          </w:tcPr>
          <w:p w14:paraId="2A2ADF86"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49CDDBDD"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575D1E9C" w14:textId="77777777" w:rsidTr="003517FF">
        <w:trPr>
          <w:trHeight w:val="375"/>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193D4E6" w14:textId="77777777" w:rsidR="003517FF" w:rsidRPr="003517FF" w:rsidRDefault="003517FF" w:rsidP="003517FF">
            <w:pPr>
              <w:suppressAutoHyphens/>
              <w:spacing w:line="1" w:lineRule="atLeast"/>
              <w:ind w:leftChars="-1" w:hangingChars="1" w:hanging="2"/>
              <w:textDirection w:val="btLr"/>
              <w:textAlignment w:val="top"/>
              <w:outlineLvl w:val="0"/>
              <w:rPr>
                <w:position w:val="-1"/>
                <w:sz w:val="16"/>
                <w:szCs w:val="16"/>
                <w:lang w:eastAsia="en-GB"/>
              </w:rPr>
            </w:pPr>
            <w:r w:rsidRPr="003517FF">
              <w:rPr>
                <w:position w:val="-1"/>
                <w:sz w:val="16"/>
                <w:szCs w:val="16"/>
                <w:lang w:eastAsia="en-GB"/>
              </w:rPr>
              <w:t>Renforcement institutionnel pour la prise en compte des enjeux de genre et de droits humains dans le système ETFP</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3F5B5099"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2D2FDDA4"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2056B12D"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38D7C199"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93C47D"/>
            <w:tcMar>
              <w:top w:w="0" w:type="dxa"/>
              <w:left w:w="100" w:type="dxa"/>
              <w:bottom w:w="0" w:type="dxa"/>
              <w:right w:w="100" w:type="dxa"/>
            </w:tcMar>
          </w:tcPr>
          <w:p w14:paraId="482AD18A"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shd w:val="clear" w:color="auto" w:fill="93C47D"/>
            <w:tcMar>
              <w:top w:w="0" w:type="dxa"/>
              <w:left w:w="100" w:type="dxa"/>
              <w:bottom w:w="0" w:type="dxa"/>
              <w:right w:w="100" w:type="dxa"/>
            </w:tcMar>
          </w:tcPr>
          <w:p w14:paraId="2DB5757F"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2569653A"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158EE092" w14:textId="77777777" w:rsidTr="003517FF">
        <w:trPr>
          <w:trHeight w:val="240"/>
          <w:jc w:val="center"/>
        </w:trPr>
        <w:tc>
          <w:tcPr>
            <w:tcW w:w="9630" w:type="dxa"/>
            <w:gridSpan w:val="8"/>
            <w:tcBorders>
              <w:left w:val="single" w:sz="8" w:space="0" w:color="000000"/>
              <w:bottom w:val="single" w:sz="8" w:space="0" w:color="000000"/>
              <w:right w:val="single" w:sz="8" w:space="0" w:color="000000"/>
            </w:tcBorders>
            <w:shd w:val="clear" w:color="auto" w:fill="F7CAAC"/>
            <w:tcMar>
              <w:top w:w="0" w:type="dxa"/>
              <w:left w:w="100" w:type="dxa"/>
              <w:bottom w:w="0" w:type="dxa"/>
              <w:right w:w="100" w:type="dxa"/>
            </w:tcMar>
          </w:tcPr>
          <w:p w14:paraId="2A6C3DE2" w14:textId="77777777" w:rsidR="003517FF" w:rsidRPr="003517FF" w:rsidRDefault="003517FF" w:rsidP="003517FF">
            <w:pPr>
              <w:suppressAutoHyphens/>
              <w:spacing w:line="1" w:lineRule="atLeast"/>
              <w:ind w:leftChars="-1" w:hangingChars="1" w:hanging="2"/>
              <w:jc w:val="both"/>
              <w:textDirection w:val="btLr"/>
              <w:textAlignment w:val="top"/>
              <w:outlineLvl w:val="0"/>
              <w:rPr>
                <w:b/>
                <w:position w:val="-1"/>
                <w:sz w:val="16"/>
                <w:szCs w:val="16"/>
                <w:lang w:eastAsia="en-GB"/>
              </w:rPr>
            </w:pPr>
            <w:r w:rsidRPr="003517FF">
              <w:rPr>
                <w:b/>
                <w:position w:val="-1"/>
                <w:sz w:val="16"/>
                <w:szCs w:val="16"/>
                <w:lang w:eastAsia="en-GB"/>
              </w:rPr>
              <w:t>Composante 2 : Assistance technique, communication et audit</w:t>
            </w:r>
          </w:p>
        </w:tc>
      </w:tr>
      <w:tr w:rsidR="003517FF" w:rsidRPr="003517FF" w14:paraId="5F4143F9" w14:textId="77777777" w:rsidTr="003517FF">
        <w:trPr>
          <w:trHeight w:val="330"/>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549EFDF" w14:textId="77777777" w:rsidR="003517FF" w:rsidRPr="003517FF" w:rsidRDefault="003517FF" w:rsidP="003517FF">
            <w:pPr>
              <w:suppressAutoHyphens/>
              <w:spacing w:line="1" w:lineRule="atLeast"/>
              <w:ind w:leftChars="-1" w:hangingChars="1" w:hanging="2"/>
              <w:jc w:val="both"/>
              <w:textDirection w:val="btLr"/>
              <w:textAlignment w:val="top"/>
              <w:outlineLvl w:val="0"/>
              <w:rPr>
                <w:b/>
                <w:position w:val="-1"/>
                <w:sz w:val="16"/>
                <w:szCs w:val="16"/>
                <w:lang w:eastAsia="en-GB"/>
              </w:rPr>
            </w:pPr>
            <w:r w:rsidRPr="003517FF">
              <w:rPr>
                <w:b/>
                <w:position w:val="-1"/>
                <w:sz w:val="16"/>
                <w:szCs w:val="16"/>
                <w:lang w:eastAsia="en-GB"/>
              </w:rPr>
              <w:t>Appui suivi et supervision de la bonne exécution du FCE</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208405A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03D9574C"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43F6B59B"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6AA1E19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5F580F02"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shd w:val="clear" w:color="auto" w:fill="auto"/>
            <w:tcMar>
              <w:top w:w="0" w:type="dxa"/>
              <w:left w:w="100" w:type="dxa"/>
              <w:bottom w:w="0" w:type="dxa"/>
              <w:right w:w="100" w:type="dxa"/>
            </w:tcMar>
          </w:tcPr>
          <w:p w14:paraId="50449F8F"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73AA1700"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119E077D" w14:textId="77777777" w:rsidTr="003517FF">
        <w:trPr>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65D993BA" w14:textId="77777777" w:rsidR="003517FF" w:rsidRPr="003517FF" w:rsidRDefault="003517FF" w:rsidP="003517FF">
            <w:pPr>
              <w:suppressAutoHyphens/>
              <w:spacing w:line="1" w:lineRule="atLeast"/>
              <w:ind w:leftChars="-1" w:hangingChars="1" w:hanging="2"/>
              <w:textDirection w:val="btLr"/>
              <w:textAlignment w:val="top"/>
              <w:outlineLvl w:val="0"/>
              <w:rPr>
                <w:position w:val="-1"/>
                <w:sz w:val="16"/>
                <w:szCs w:val="16"/>
                <w:lang w:eastAsia="en-GB"/>
              </w:rPr>
            </w:pPr>
            <w:r w:rsidRPr="003517FF">
              <w:rPr>
                <w:position w:val="-1"/>
                <w:sz w:val="16"/>
                <w:szCs w:val="16"/>
                <w:lang w:eastAsia="en-GB"/>
              </w:rPr>
              <w:t>Passation du marché et signature du contrat</w:t>
            </w:r>
          </w:p>
        </w:tc>
        <w:tc>
          <w:tcPr>
            <w:tcW w:w="1035" w:type="dxa"/>
            <w:tcBorders>
              <w:bottom w:val="single" w:sz="8" w:space="0" w:color="000000"/>
              <w:right w:val="single" w:sz="8" w:space="0" w:color="000000"/>
            </w:tcBorders>
            <w:shd w:val="clear" w:color="auto" w:fill="C45911"/>
            <w:tcMar>
              <w:top w:w="0" w:type="dxa"/>
              <w:left w:w="100" w:type="dxa"/>
              <w:bottom w:w="0" w:type="dxa"/>
              <w:right w:w="100" w:type="dxa"/>
            </w:tcMar>
          </w:tcPr>
          <w:p w14:paraId="67053277"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4D6DEEA6"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0D6933F8"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17FB668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2298C35A"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shd w:val="clear" w:color="auto" w:fill="auto"/>
            <w:tcMar>
              <w:top w:w="0" w:type="dxa"/>
              <w:left w:w="100" w:type="dxa"/>
              <w:bottom w:w="0" w:type="dxa"/>
              <w:right w:w="100" w:type="dxa"/>
            </w:tcMar>
          </w:tcPr>
          <w:p w14:paraId="598B0EAA"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46BE67B9"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57E1E4BD" w14:textId="77777777" w:rsidTr="003517FF">
        <w:trPr>
          <w:trHeight w:val="90"/>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769213BC" w14:textId="77777777" w:rsidR="003517FF" w:rsidRPr="00585F62" w:rsidRDefault="003517FF" w:rsidP="003517FF">
            <w:pPr>
              <w:suppressAutoHyphens/>
              <w:spacing w:line="1" w:lineRule="atLeast"/>
              <w:ind w:leftChars="-1" w:hangingChars="1" w:hanging="2"/>
              <w:textDirection w:val="btLr"/>
              <w:textAlignment w:val="top"/>
              <w:outlineLvl w:val="0"/>
              <w:rPr>
                <w:position w:val="-1"/>
                <w:sz w:val="16"/>
                <w:szCs w:val="16"/>
                <w:lang w:eastAsia="en-GB"/>
              </w:rPr>
            </w:pPr>
            <w:r w:rsidRPr="00585F62">
              <w:rPr>
                <w:position w:val="-1"/>
                <w:sz w:val="16"/>
                <w:szCs w:val="16"/>
                <w:lang w:eastAsia="en-GB"/>
              </w:rPr>
              <w:t>Exécution de la prestation</w:t>
            </w:r>
          </w:p>
        </w:tc>
        <w:tc>
          <w:tcPr>
            <w:tcW w:w="1035" w:type="dxa"/>
            <w:tcBorders>
              <w:bottom w:val="single" w:sz="8" w:space="0" w:color="000000"/>
              <w:right w:val="single" w:sz="8" w:space="0" w:color="000000"/>
            </w:tcBorders>
            <w:shd w:val="clear" w:color="auto" w:fill="C45911"/>
            <w:tcMar>
              <w:top w:w="0" w:type="dxa"/>
              <w:left w:w="100" w:type="dxa"/>
              <w:bottom w:w="0" w:type="dxa"/>
              <w:right w:w="100" w:type="dxa"/>
            </w:tcMar>
          </w:tcPr>
          <w:p w14:paraId="5D0BFE85"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30300B76"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3E346ADC"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7BF44E36"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66697B14"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960" w:type="dxa"/>
            <w:tcBorders>
              <w:bottom w:val="single" w:sz="8" w:space="0" w:color="000000"/>
              <w:right w:val="single" w:sz="8" w:space="0" w:color="000000"/>
            </w:tcBorders>
            <w:shd w:val="clear" w:color="auto" w:fill="C45911"/>
            <w:tcMar>
              <w:top w:w="0" w:type="dxa"/>
              <w:left w:w="100" w:type="dxa"/>
              <w:bottom w:w="0" w:type="dxa"/>
              <w:right w:w="100" w:type="dxa"/>
            </w:tcMar>
          </w:tcPr>
          <w:p w14:paraId="77A3AC11"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5D0D0767"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r>
      <w:tr w:rsidR="003517FF" w:rsidRPr="003517FF" w14:paraId="00A3E192" w14:textId="77777777" w:rsidTr="003517FF">
        <w:trPr>
          <w:trHeight w:val="150"/>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10111D33" w14:textId="77777777" w:rsidR="003517FF" w:rsidRPr="003517FF" w:rsidRDefault="003517FF" w:rsidP="003517FF">
            <w:pPr>
              <w:suppressAutoHyphens/>
              <w:spacing w:line="1" w:lineRule="atLeast"/>
              <w:ind w:leftChars="-1" w:hangingChars="1" w:hanging="2"/>
              <w:textDirection w:val="btLr"/>
              <w:textAlignment w:val="top"/>
              <w:outlineLvl w:val="0"/>
              <w:rPr>
                <w:b/>
                <w:position w:val="-1"/>
                <w:sz w:val="16"/>
                <w:szCs w:val="16"/>
                <w:lang w:eastAsia="en-GB"/>
              </w:rPr>
            </w:pPr>
            <w:r w:rsidRPr="003517FF">
              <w:rPr>
                <w:b/>
                <w:position w:val="-1"/>
                <w:sz w:val="16"/>
                <w:szCs w:val="16"/>
                <w:lang w:eastAsia="en-GB"/>
              </w:rPr>
              <w:t>Appui encadrement fiduciaire (audits externes)</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7B99EEA3"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5B64DD7F"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47923BC2"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500B6D86"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617584AB"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shd w:val="clear" w:color="auto" w:fill="auto"/>
            <w:tcMar>
              <w:top w:w="0" w:type="dxa"/>
              <w:left w:w="100" w:type="dxa"/>
              <w:bottom w:w="0" w:type="dxa"/>
              <w:right w:w="100" w:type="dxa"/>
            </w:tcMar>
          </w:tcPr>
          <w:p w14:paraId="746F8FE6"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76F06D74"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530A56BB" w14:textId="77777777" w:rsidTr="003517FF">
        <w:trPr>
          <w:trHeight w:val="75"/>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A115D35" w14:textId="77777777" w:rsidR="003517FF" w:rsidRPr="003517FF" w:rsidRDefault="003517FF" w:rsidP="003517FF">
            <w:pPr>
              <w:suppressAutoHyphens/>
              <w:spacing w:line="1" w:lineRule="atLeast"/>
              <w:ind w:leftChars="-1" w:hangingChars="1" w:hanging="2"/>
              <w:textDirection w:val="btLr"/>
              <w:textAlignment w:val="top"/>
              <w:outlineLvl w:val="0"/>
              <w:rPr>
                <w:i/>
                <w:position w:val="-1"/>
                <w:sz w:val="16"/>
                <w:szCs w:val="16"/>
                <w:lang w:eastAsia="en-GB"/>
              </w:rPr>
            </w:pPr>
            <w:r w:rsidRPr="003517FF">
              <w:rPr>
                <w:i/>
                <w:position w:val="-1"/>
                <w:sz w:val="16"/>
                <w:szCs w:val="16"/>
                <w:lang w:eastAsia="en-GB"/>
              </w:rPr>
              <w:t>Passation du marché et signature du contrat</w:t>
            </w:r>
          </w:p>
        </w:tc>
        <w:tc>
          <w:tcPr>
            <w:tcW w:w="1035" w:type="dxa"/>
            <w:tcBorders>
              <w:bottom w:val="single" w:sz="8" w:space="0" w:color="000000"/>
              <w:right w:val="single" w:sz="8" w:space="0" w:color="000000"/>
            </w:tcBorders>
            <w:shd w:val="clear" w:color="auto" w:fill="C45911"/>
            <w:tcMar>
              <w:top w:w="0" w:type="dxa"/>
              <w:left w:w="100" w:type="dxa"/>
              <w:bottom w:w="0" w:type="dxa"/>
              <w:right w:w="100" w:type="dxa"/>
            </w:tcMar>
          </w:tcPr>
          <w:p w14:paraId="77317273"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3F0093F6"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14390F13"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6C04030C"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70F5D792"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shd w:val="clear" w:color="auto" w:fill="auto"/>
            <w:tcMar>
              <w:top w:w="0" w:type="dxa"/>
              <w:left w:w="100" w:type="dxa"/>
              <w:bottom w:w="0" w:type="dxa"/>
              <w:right w:w="100" w:type="dxa"/>
            </w:tcMar>
          </w:tcPr>
          <w:p w14:paraId="225BF1C1"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3C563A60"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7FDEE2E6" w14:textId="77777777" w:rsidTr="003517FF">
        <w:trPr>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4EAE2650" w14:textId="77777777" w:rsidR="003517FF" w:rsidRPr="00585F62" w:rsidRDefault="003517FF" w:rsidP="003517FF">
            <w:pPr>
              <w:suppressAutoHyphens/>
              <w:spacing w:line="1" w:lineRule="atLeast"/>
              <w:ind w:leftChars="-1" w:hangingChars="1" w:hanging="2"/>
              <w:textDirection w:val="btLr"/>
              <w:textAlignment w:val="top"/>
              <w:outlineLvl w:val="0"/>
              <w:rPr>
                <w:i/>
                <w:position w:val="-1"/>
                <w:sz w:val="16"/>
                <w:szCs w:val="16"/>
                <w:lang w:eastAsia="en-GB"/>
              </w:rPr>
            </w:pPr>
            <w:r w:rsidRPr="00585F62">
              <w:rPr>
                <w:i/>
                <w:position w:val="-1"/>
                <w:sz w:val="16"/>
                <w:szCs w:val="16"/>
                <w:lang w:eastAsia="en-GB"/>
              </w:rPr>
              <w:t>Exécution de la prestation</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0A00B7DD"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589A42DF"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31043795"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09D52F6A"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5288B8A5"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960" w:type="dxa"/>
            <w:tcBorders>
              <w:bottom w:val="single" w:sz="8" w:space="0" w:color="000000"/>
              <w:right w:val="single" w:sz="8" w:space="0" w:color="000000"/>
            </w:tcBorders>
            <w:shd w:val="clear" w:color="auto" w:fill="auto"/>
            <w:tcMar>
              <w:top w:w="0" w:type="dxa"/>
              <w:left w:w="100" w:type="dxa"/>
              <w:bottom w:w="0" w:type="dxa"/>
              <w:right w:w="100" w:type="dxa"/>
            </w:tcMar>
          </w:tcPr>
          <w:p w14:paraId="62206230"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0F63B9E3"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r>
      <w:tr w:rsidR="003517FF" w:rsidRPr="003517FF" w14:paraId="41B5221C" w14:textId="77777777" w:rsidTr="003517FF">
        <w:trPr>
          <w:trHeight w:val="165"/>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4B37C8E" w14:textId="77777777" w:rsidR="003517FF" w:rsidRPr="00585F62" w:rsidRDefault="003517FF" w:rsidP="003517FF">
            <w:pPr>
              <w:suppressAutoHyphens/>
              <w:spacing w:line="1" w:lineRule="atLeast"/>
              <w:ind w:leftChars="-1" w:hangingChars="1" w:hanging="2"/>
              <w:textDirection w:val="btLr"/>
              <w:textAlignment w:val="top"/>
              <w:outlineLvl w:val="0"/>
              <w:rPr>
                <w:b/>
                <w:position w:val="-1"/>
                <w:sz w:val="16"/>
                <w:szCs w:val="16"/>
                <w:lang w:eastAsia="en-GB"/>
              </w:rPr>
            </w:pPr>
            <w:r w:rsidRPr="00585F62">
              <w:rPr>
                <w:b/>
                <w:position w:val="-1"/>
                <w:sz w:val="16"/>
                <w:szCs w:val="16"/>
                <w:lang w:eastAsia="en-GB"/>
              </w:rPr>
              <w:t>Communication et visibilité</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14BE15C0"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5B552923"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6D17FB01"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4C0546A8"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01746716"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960" w:type="dxa"/>
            <w:tcBorders>
              <w:bottom w:val="single" w:sz="8" w:space="0" w:color="000000"/>
              <w:right w:val="single" w:sz="8" w:space="0" w:color="000000"/>
            </w:tcBorders>
            <w:shd w:val="clear" w:color="auto" w:fill="auto"/>
            <w:tcMar>
              <w:top w:w="0" w:type="dxa"/>
              <w:left w:w="100" w:type="dxa"/>
              <w:bottom w:w="0" w:type="dxa"/>
              <w:right w:w="100" w:type="dxa"/>
            </w:tcMar>
          </w:tcPr>
          <w:p w14:paraId="69A3787A"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3F51D715"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r>
      <w:tr w:rsidR="003517FF" w:rsidRPr="003517FF" w14:paraId="384563CE" w14:textId="77777777" w:rsidTr="003517FF">
        <w:trPr>
          <w:trHeight w:val="135"/>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5CEA7213" w14:textId="77777777" w:rsidR="003517FF" w:rsidRPr="003517FF" w:rsidRDefault="003517FF" w:rsidP="003517FF">
            <w:pPr>
              <w:suppressAutoHyphens/>
              <w:spacing w:line="1" w:lineRule="atLeast"/>
              <w:ind w:leftChars="-1" w:hangingChars="1" w:hanging="2"/>
              <w:textDirection w:val="btLr"/>
              <w:textAlignment w:val="top"/>
              <w:outlineLvl w:val="0"/>
              <w:rPr>
                <w:i/>
                <w:position w:val="-1"/>
                <w:sz w:val="16"/>
                <w:szCs w:val="16"/>
                <w:lang w:eastAsia="en-GB"/>
              </w:rPr>
            </w:pPr>
            <w:r w:rsidRPr="003517FF">
              <w:rPr>
                <w:i/>
                <w:position w:val="-1"/>
                <w:sz w:val="16"/>
                <w:szCs w:val="16"/>
                <w:lang w:eastAsia="en-GB"/>
              </w:rPr>
              <w:t>Passation du marché et signature du contrat</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29271DF1"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3517FF">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F7CAAC"/>
            <w:tcMar>
              <w:top w:w="0" w:type="dxa"/>
              <w:left w:w="100" w:type="dxa"/>
              <w:bottom w:w="0" w:type="dxa"/>
              <w:right w:w="100" w:type="dxa"/>
            </w:tcMar>
          </w:tcPr>
          <w:p w14:paraId="5CB474A0"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3517FF">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11EB024F"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3517FF">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7FC43E8D"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3517FF">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26A0ADB9"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3517FF">
              <w:rPr>
                <w:position w:val="-1"/>
                <w:sz w:val="16"/>
                <w:szCs w:val="16"/>
                <w:highlight w:val="yellow"/>
                <w:lang w:eastAsia="en-GB"/>
              </w:rPr>
              <w:t xml:space="preserve"> </w:t>
            </w:r>
          </w:p>
        </w:tc>
        <w:tc>
          <w:tcPr>
            <w:tcW w:w="960" w:type="dxa"/>
            <w:tcBorders>
              <w:bottom w:val="single" w:sz="8" w:space="0" w:color="000000"/>
              <w:right w:val="single" w:sz="8" w:space="0" w:color="000000"/>
            </w:tcBorders>
            <w:shd w:val="clear" w:color="auto" w:fill="auto"/>
            <w:tcMar>
              <w:top w:w="0" w:type="dxa"/>
              <w:left w:w="100" w:type="dxa"/>
              <w:bottom w:w="0" w:type="dxa"/>
              <w:right w:w="100" w:type="dxa"/>
            </w:tcMar>
          </w:tcPr>
          <w:p w14:paraId="7D35477A"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3517FF">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0004192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3517FF">
              <w:rPr>
                <w:position w:val="-1"/>
                <w:sz w:val="16"/>
                <w:szCs w:val="16"/>
                <w:highlight w:val="yellow"/>
                <w:lang w:eastAsia="en-GB"/>
              </w:rPr>
              <w:t xml:space="preserve"> </w:t>
            </w:r>
          </w:p>
        </w:tc>
      </w:tr>
      <w:tr w:rsidR="003517FF" w:rsidRPr="003517FF" w14:paraId="207E21FC" w14:textId="77777777" w:rsidTr="003517FF">
        <w:trPr>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591294A0" w14:textId="77777777" w:rsidR="003517FF" w:rsidRPr="00585F62" w:rsidRDefault="003517FF" w:rsidP="003517FF">
            <w:pPr>
              <w:suppressAutoHyphens/>
              <w:spacing w:line="1" w:lineRule="atLeast"/>
              <w:ind w:leftChars="-1" w:hangingChars="1" w:hanging="2"/>
              <w:textDirection w:val="btLr"/>
              <w:textAlignment w:val="top"/>
              <w:outlineLvl w:val="0"/>
              <w:rPr>
                <w:i/>
                <w:position w:val="-1"/>
                <w:sz w:val="16"/>
                <w:szCs w:val="16"/>
                <w:lang w:eastAsia="en-GB"/>
              </w:rPr>
            </w:pPr>
            <w:r w:rsidRPr="00585F62">
              <w:rPr>
                <w:i/>
                <w:position w:val="-1"/>
                <w:sz w:val="16"/>
                <w:szCs w:val="16"/>
                <w:lang w:eastAsia="en-GB"/>
              </w:rPr>
              <w:t>Exécution de la prestation</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38DCAE12"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F7CAAC"/>
            <w:tcMar>
              <w:top w:w="0" w:type="dxa"/>
              <w:left w:w="100" w:type="dxa"/>
              <w:bottom w:w="0" w:type="dxa"/>
              <w:right w:w="100" w:type="dxa"/>
            </w:tcMar>
          </w:tcPr>
          <w:p w14:paraId="050EAA41"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F7CAAC"/>
            <w:tcMar>
              <w:top w:w="0" w:type="dxa"/>
              <w:left w:w="100" w:type="dxa"/>
              <w:bottom w:w="0" w:type="dxa"/>
              <w:right w:w="100" w:type="dxa"/>
            </w:tcMar>
          </w:tcPr>
          <w:p w14:paraId="1EA63E8E"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F7CAAC"/>
            <w:tcMar>
              <w:top w:w="0" w:type="dxa"/>
              <w:left w:w="100" w:type="dxa"/>
              <w:bottom w:w="0" w:type="dxa"/>
              <w:right w:w="100" w:type="dxa"/>
            </w:tcMar>
          </w:tcPr>
          <w:p w14:paraId="6ABA973D"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F7CAAC"/>
            <w:tcMar>
              <w:top w:w="0" w:type="dxa"/>
              <w:left w:w="100" w:type="dxa"/>
              <w:bottom w:w="0" w:type="dxa"/>
              <w:right w:w="100" w:type="dxa"/>
            </w:tcMar>
          </w:tcPr>
          <w:p w14:paraId="1348EE35"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960" w:type="dxa"/>
            <w:tcBorders>
              <w:bottom w:val="single" w:sz="8" w:space="0" w:color="000000"/>
              <w:right w:val="single" w:sz="8" w:space="0" w:color="000000"/>
            </w:tcBorders>
            <w:shd w:val="clear" w:color="auto" w:fill="F7CAAC"/>
            <w:tcMar>
              <w:top w:w="0" w:type="dxa"/>
              <w:left w:w="100" w:type="dxa"/>
              <w:bottom w:w="0" w:type="dxa"/>
              <w:right w:w="100" w:type="dxa"/>
            </w:tcMar>
          </w:tcPr>
          <w:p w14:paraId="6FE72212"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1112FCEF"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highlight w:val="yellow"/>
                <w:lang w:eastAsia="en-GB"/>
              </w:rPr>
            </w:pPr>
            <w:r w:rsidRPr="00585F62">
              <w:rPr>
                <w:position w:val="-1"/>
                <w:sz w:val="16"/>
                <w:szCs w:val="16"/>
                <w:highlight w:val="yellow"/>
                <w:lang w:eastAsia="en-GB"/>
              </w:rPr>
              <w:t xml:space="preserve"> </w:t>
            </w:r>
          </w:p>
        </w:tc>
      </w:tr>
      <w:tr w:rsidR="003517FF" w:rsidRPr="003517FF" w14:paraId="06098279" w14:textId="77777777" w:rsidTr="003517FF">
        <w:trPr>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1EA8D20" w14:textId="77777777" w:rsidR="003517FF" w:rsidRPr="003517FF" w:rsidRDefault="003517FF" w:rsidP="003517FF">
            <w:pPr>
              <w:suppressAutoHyphens/>
              <w:spacing w:line="1" w:lineRule="atLeast"/>
              <w:ind w:leftChars="-1" w:hangingChars="1" w:hanging="2"/>
              <w:textDirection w:val="btLr"/>
              <w:textAlignment w:val="top"/>
              <w:outlineLvl w:val="0"/>
              <w:rPr>
                <w:b/>
                <w:position w:val="-1"/>
                <w:sz w:val="16"/>
                <w:szCs w:val="16"/>
                <w:lang w:eastAsia="en-GB"/>
              </w:rPr>
            </w:pPr>
            <w:r w:rsidRPr="003517FF">
              <w:rPr>
                <w:b/>
                <w:position w:val="-1"/>
                <w:sz w:val="16"/>
                <w:szCs w:val="16"/>
                <w:lang w:eastAsia="en-GB"/>
              </w:rPr>
              <w:t>AT en appui à l’intégration des aspects genre</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3E34D087"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0B30A4F6"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643523A4"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65A5463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10835438"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shd w:val="clear" w:color="auto" w:fill="auto"/>
            <w:tcMar>
              <w:top w:w="0" w:type="dxa"/>
              <w:left w:w="100" w:type="dxa"/>
              <w:bottom w:w="0" w:type="dxa"/>
              <w:right w:w="100" w:type="dxa"/>
            </w:tcMar>
          </w:tcPr>
          <w:p w14:paraId="1942B094"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2E7CD524"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6DB3EB74" w14:textId="77777777" w:rsidTr="003517FF">
        <w:trPr>
          <w:trHeight w:val="165"/>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35DF1EDE" w14:textId="77777777" w:rsidR="003517FF" w:rsidRPr="003517FF" w:rsidRDefault="003517FF" w:rsidP="003517FF">
            <w:pPr>
              <w:suppressAutoHyphens/>
              <w:spacing w:line="1" w:lineRule="atLeast"/>
              <w:ind w:leftChars="-1" w:hangingChars="1" w:hanging="2"/>
              <w:textDirection w:val="btLr"/>
              <w:textAlignment w:val="top"/>
              <w:outlineLvl w:val="0"/>
              <w:rPr>
                <w:i/>
                <w:position w:val="-1"/>
                <w:sz w:val="16"/>
                <w:szCs w:val="16"/>
                <w:lang w:eastAsia="en-GB"/>
              </w:rPr>
            </w:pPr>
            <w:r w:rsidRPr="003517FF">
              <w:rPr>
                <w:i/>
                <w:position w:val="-1"/>
                <w:sz w:val="16"/>
                <w:szCs w:val="16"/>
                <w:lang w:eastAsia="en-GB"/>
              </w:rPr>
              <w:t>Passation du marché et signature du contrat</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4BB00C5B"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3BD6D381"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3B7CCA8A"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3D72DF55"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7AEE997D"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960" w:type="dxa"/>
            <w:tcBorders>
              <w:bottom w:val="single" w:sz="8" w:space="0" w:color="000000"/>
              <w:right w:val="single" w:sz="8" w:space="0" w:color="000000"/>
            </w:tcBorders>
            <w:shd w:val="clear" w:color="auto" w:fill="auto"/>
            <w:tcMar>
              <w:top w:w="0" w:type="dxa"/>
              <w:left w:w="100" w:type="dxa"/>
              <w:bottom w:w="0" w:type="dxa"/>
              <w:right w:w="100" w:type="dxa"/>
            </w:tcMar>
          </w:tcPr>
          <w:p w14:paraId="2E8359E8"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001CD8C0" w14:textId="77777777" w:rsidR="003517FF" w:rsidRPr="003517FF"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3517FF">
              <w:rPr>
                <w:position w:val="-1"/>
                <w:sz w:val="16"/>
                <w:szCs w:val="16"/>
                <w:lang w:eastAsia="en-GB"/>
              </w:rPr>
              <w:t xml:space="preserve"> </w:t>
            </w:r>
          </w:p>
        </w:tc>
      </w:tr>
      <w:tr w:rsidR="003517FF" w:rsidRPr="003517FF" w14:paraId="0BC775D9" w14:textId="77777777" w:rsidTr="003517FF">
        <w:trPr>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2A5CB9B4" w14:textId="77777777" w:rsidR="003517FF" w:rsidRPr="00585F62" w:rsidRDefault="003517FF" w:rsidP="003517FF">
            <w:pPr>
              <w:suppressAutoHyphens/>
              <w:spacing w:line="1" w:lineRule="atLeast"/>
              <w:ind w:leftChars="-1" w:hangingChars="1" w:hanging="2"/>
              <w:textDirection w:val="btLr"/>
              <w:textAlignment w:val="top"/>
              <w:outlineLvl w:val="0"/>
              <w:rPr>
                <w:i/>
                <w:position w:val="-1"/>
                <w:sz w:val="16"/>
                <w:szCs w:val="16"/>
                <w:lang w:eastAsia="en-GB"/>
              </w:rPr>
            </w:pPr>
            <w:r w:rsidRPr="00585F62">
              <w:rPr>
                <w:i/>
                <w:position w:val="-1"/>
                <w:sz w:val="16"/>
                <w:szCs w:val="16"/>
                <w:lang w:eastAsia="en-GB"/>
              </w:rPr>
              <w:t>Exécution de la prestation</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424CFA4B"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1E2AE92A"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6F3FA288"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774B3709"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C45911"/>
            <w:tcMar>
              <w:top w:w="0" w:type="dxa"/>
              <w:left w:w="100" w:type="dxa"/>
              <w:bottom w:w="0" w:type="dxa"/>
              <w:right w:w="100" w:type="dxa"/>
            </w:tcMar>
          </w:tcPr>
          <w:p w14:paraId="1B8B4963"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960" w:type="dxa"/>
            <w:tcBorders>
              <w:bottom w:val="single" w:sz="8" w:space="0" w:color="000000"/>
              <w:right w:val="single" w:sz="8" w:space="0" w:color="000000"/>
            </w:tcBorders>
            <w:shd w:val="clear" w:color="auto" w:fill="C45911"/>
            <w:tcMar>
              <w:top w:w="0" w:type="dxa"/>
              <w:left w:w="100" w:type="dxa"/>
              <w:bottom w:w="0" w:type="dxa"/>
              <w:right w:w="100" w:type="dxa"/>
            </w:tcMar>
          </w:tcPr>
          <w:p w14:paraId="498B0AD8"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762BDCED" w14:textId="77777777" w:rsidR="003517FF" w:rsidRPr="00585F62" w:rsidRDefault="003517FF" w:rsidP="003517FF">
            <w:pPr>
              <w:suppressAutoHyphens/>
              <w:spacing w:line="1" w:lineRule="atLeast"/>
              <w:ind w:leftChars="-1" w:hangingChars="1" w:hanging="2"/>
              <w:jc w:val="both"/>
              <w:textDirection w:val="btLr"/>
              <w:textAlignment w:val="top"/>
              <w:outlineLvl w:val="0"/>
              <w:rPr>
                <w:position w:val="-1"/>
                <w:sz w:val="16"/>
                <w:szCs w:val="16"/>
                <w:lang w:eastAsia="en-GB"/>
              </w:rPr>
            </w:pPr>
            <w:r w:rsidRPr="00585F62">
              <w:rPr>
                <w:position w:val="-1"/>
                <w:sz w:val="16"/>
                <w:szCs w:val="16"/>
                <w:lang w:eastAsia="en-GB"/>
              </w:rPr>
              <w:t xml:space="preserve"> </w:t>
            </w:r>
          </w:p>
        </w:tc>
      </w:tr>
      <w:tr w:rsidR="003517FF" w:rsidRPr="003517FF" w14:paraId="7E250E1B" w14:textId="77777777" w:rsidTr="003517FF">
        <w:trPr>
          <w:trHeight w:val="240"/>
          <w:jc w:val="center"/>
        </w:trPr>
        <w:tc>
          <w:tcPr>
            <w:tcW w:w="9630" w:type="dxa"/>
            <w:gridSpan w:val="8"/>
            <w:tcBorders>
              <w:left w:val="single" w:sz="8" w:space="0" w:color="000000"/>
              <w:bottom w:val="single" w:sz="8" w:space="0" w:color="000000"/>
              <w:right w:val="single" w:sz="8" w:space="0" w:color="000000"/>
            </w:tcBorders>
            <w:shd w:val="clear" w:color="auto" w:fill="BDD6EE"/>
            <w:tcMar>
              <w:top w:w="0" w:type="dxa"/>
              <w:left w:w="100" w:type="dxa"/>
              <w:bottom w:w="0" w:type="dxa"/>
              <w:right w:w="100" w:type="dxa"/>
            </w:tcMar>
          </w:tcPr>
          <w:p w14:paraId="7E00C225" w14:textId="77777777" w:rsidR="003517FF" w:rsidRPr="00585F62" w:rsidRDefault="003517FF" w:rsidP="003517FF">
            <w:pPr>
              <w:suppressAutoHyphens/>
              <w:spacing w:line="1" w:lineRule="atLeast"/>
              <w:ind w:leftChars="-1" w:hangingChars="1" w:hanging="2"/>
              <w:jc w:val="both"/>
              <w:textDirection w:val="btLr"/>
              <w:textAlignment w:val="top"/>
              <w:outlineLvl w:val="0"/>
              <w:rPr>
                <w:b/>
                <w:color w:val="ED7D31"/>
                <w:position w:val="-1"/>
                <w:sz w:val="16"/>
                <w:szCs w:val="16"/>
                <w:lang w:eastAsia="en-GB"/>
              </w:rPr>
            </w:pPr>
            <w:r w:rsidRPr="00585F62">
              <w:rPr>
                <w:b/>
                <w:color w:val="ED7D31"/>
                <w:position w:val="-1"/>
                <w:sz w:val="16"/>
                <w:szCs w:val="16"/>
                <w:lang w:eastAsia="en-GB"/>
              </w:rPr>
              <w:t>Clôture</w:t>
            </w:r>
          </w:p>
        </w:tc>
      </w:tr>
      <w:tr w:rsidR="003517FF" w:rsidRPr="003517FF" w14:paraId="128CBD0B" w14:textId="77777777" w:rsidTr="003517FF">
        <w:trPr>
          <w:trHeight w:val="270"/>
          <w:jc w:val="center"/>
        </w:trPr>
        <w:tc>
          <w:tcPr>
            <w:tcW w:w="3285"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6E9B2DFF" w14:textId="77777777" w:rsidR="003517FF" w:rsidRPr="00585F62" w:rsidRDefault="003517FF" w:rsidP="003517FF">
            <w:pPr>
              <w:suppressAutoHyphens/>
              <w:spacing w:line="1" w:lineRule="atLeast"/>
              <w:ind w:leftChars="-1" w:hangingChars="1" w:hanging="2"/>
              <w:jc w:val="both"/>
              <w:textDirection w:val="btLr"/>
              <w:textAlignment w:val="top"/>
              <w:outlineLvl w:val="0"/>
              <w:rPr>
                <w:b/>
                <w:color w:val="ED7D31"/>
                <w:position w:val="-1"/>
                <w:sz w:val="16"/>
                <w:szCs w:val="16"/>
                <w:lang w:eastAsia="en-GB"/>
              </w:rPr>
            </w:pPr>
            <w:r w:rsidRPr="00585F62">
              <w:rPr>
                <w:b/>
                <w:color w:val="ED7D31"/>
                <w:position w:val="-1"/>
                <w:sz w:val="16"/>
                <w:szCs w:val="16"/>
                <w:lang w:eastAsia="en-GB"/>
              </w:rPr>
              <w:t xml:space="preserve"> </w:t>
            </w:r>
          </w:p>
        </w:tc>
        <w:tc>
          <w:tcPr>
            <w:tcW w:w="1035" w:type="dxa"/>
            <w:tcBorders>
              <w:bottom w:val="single" w:sz="8" w:space="0" w:color="000000"/>
              <w:right w:val="single" w:sz="8" w:space="0" w:color="000000"/>
            </w:tcBorders>
            <w:shd w:val="clear" w:color="auto" w:fill="auto"/>
            <w:tcMar>
              <w:top w:w="0" w:type="dxa"/>
              <w:left w:w="100" w:type="dxa"/>
              <w:bottom w:w="0" w:type="dxa"/>
              <w:right w:w="100" w:type="dxa"/>
            </w:tcMar>
          </w:tcPr>
          <w:p w14:paraId="52408A25" w14:textId="77777777" w:rsidR="003517FF" w:rsidRPr="00585F62" w:rsidRDefault="003517FF" w:rsidP="003517FF">
            <w:pPr>
              <w:suppressAutoHyphens/>
              <w:spacing w:line="1" w:lineRule="atLeast"/>
              <w:ind w:leftChars="-1" w:hangingChars="1" w:hanging="2"/>
              <w:jc w:val="both"/>
              <w:textDirection w:val="btLr"/>
              <w:textAlignment w:val="top"/>
              <w:outlineLvl w:val="0"/>
              <w:rPr>
                <w:color w:val="ED7D31"/>
                <w:position w:val="-1"/>
                <w:sz w:val="16"/>
                <w:szCs w:val="16"/>
                <w:lang w:eastAsia="en-GB"/>
              </w:rPr>
            </w:pPr>
            <w:r w:rsidRPr="00585F62">
              <w:rPr>
                <w:color w:val="ED7D31"/>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110086AF" w14:textId="77777777" w:rsidR="003517FF" w:rsidRPr="00585F62" w:rsidRDefault="003517FF" w:rsidP="003517FF">
            <w:pPr>
              <w:suppressAutoHyphens/>
              <w:spacing w:line="1" w:lineRule="atLeast"/>
              <w:ind w:leftChars="-1" w:hangingChars="1" w:hanging="2"/>
              <w:jc w:val="both"/>
              <w:textDirection w:val="btLr"/>
              <w:textAlignment w:val="top"/>
              <w:outlineLvl w:val="0"/>
              <w:rPr>
                <w:color w:val="ED7D31"/>
                <w:position w:val="-1"/>
                <w:sz w:val="16"/>
                <w:szCs w:val="16"/>
                <w:lang w:eastAsia="en-GB"/>
              </w:rPr>
            </w:pPr>
            <w:r w:rsidRPr="00585F62">
              <w:rPr>
                <w:color w:val="ED7D31"/>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5C3BA7DC" w14:textId="77777777" w:rsidR="003517FF" w:rsidRPr="00585F62" w:rsidRDefault="003517FF" w:rsidP="003517FF">
            <w:pPr>
              <w:suppressAutoHyphens/>
              <w:spacing w:line="1" w:lineRule="atLeast"/>
              <w:ind w:leftChars="-1" w:hangingChars="1" w:hanging="2"/>
              <w:jc w:val="both"/>
              <w:textDirection w:val="btLr"/>
              <w:textAlignment w:val="top"/>
              <w:outlineLvl w:val="0"/>
              <w:rPr>
                <w:color w:val="ED7D31"/>
                <w:position w:val="-1"/>
                <w:sz w:val="16"/>
                <w:szCs w:val="16"/>
                <w:lang w:eastAsia="en-GB"/>
              </w:rPr>
            </w:pPr>
            <w:r w:rsidRPr="00585F62">
              <w:rPr>
                <w:color w:val="ED7D31"/>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77A39D47" w14:textId="77777777" w:rsidR="003517FF" w:rsidRPr="00585F62" w:rsidRDefault="003517FF" w:rsidP="003517FF">
            <w:pPr>
              <w:suppressAutoHyphens/>
              <w:spacing w:line="1" w:lineRule="atLeast"/>
              <w:ind w:leftChars="-1" w:hangingChars="1" w:hanging="2"/>
              <w:jc w:val="both"/>
              <w:textDirection w:val="btLr"/>
              <w:textAlignment w:val="top"/>
              <w:outlineLvl w:val="0"/>
              <w:rPr>
                <w:color w:val="ED7D31"/>
                <w:position w:val="-1"/>
                <w:sz w:val="16"/>
                <w:szCs w:val="16"/>
                <w:lang w:eastAsia="en-GB"/>
              </w:rPr>
            </w:pPr>
            <w:r w:rsidRPr="00585F62">
              <w:rPr>
                <w:color w:val="ED7D31"/>
                <w:position w:val="-1"/>
                <w:sz w:val="16"/>
                <w:szCs w:val="16"/>
                <w:lang w:eastAsia="en-GB"/>
              </w:rPr>
              <w:t xml:space="preserve"> </w:t>
            </w:r>
          </w:p>
        </w:tc>
        <w:tc>
          <w:tcPr>
            <w:tcW w:w="870" w:type="dxa"/>
            <w:tcBorders>
              <w:bottom w:val="single" w:sz="8" w:space="0" w:color="000000"/>
              <w:right w:val="single" w:sz="8" w:space="0" w:color="000000"/>
            </w:tcBorders>
            <w:shd w:val="clear" w:color="auto" w:fill="auto"/>
            <w:tcMar>
              <w:top w:w="0" w:type="dxa"/>
              <w:left w:w="100" w:type="dxa"/>
              <w:bottom w:w="0" w:type="dxa"/>
              <w:right w:w="100" w:type="dxa"/>
            </w:tcMar>
          </w:tcPr>
          <w:p w14:paraId="5AD59E62" w14:textId="77777777" w:rsidR="003517FF" w:rsidRPr="00585F62" w:rsidRDefault="003517FF" w:rsidP="003517FF">
            <w:pPr>
              <w:suppressAutoHyphens/>
              <w:spacing w:line="1" w:lineRule="atLeast"/>
              <w:ind w:leftChars="-1" w:hangingChars="1" w:hanging="2"/>
              <w:jc w:val="both"/>
              <w:textDirection w:val="btLr"/>
              <w:textAlignment w:val="top"/>
              <w:outlineLvl w:val="0"/>
              <w:rPr>
                <w:color w:val="ED7D31"/>
                <w:position w:val="-1"/>
                <w:sz w:val="16"/>
                <w:szCs w:val="16"/>
                <w:lang w:eastAsia="en-GB"/>
              </w:rPr>
            </w:pPr>
            <w:r w:rsidRPr="00585F62">
              <w:rPr>
                <w:color w:val="ED7D31"/>
                <w:position w:val="-1"/>
                <w:sz w:val="16"/>
                <w:szCs w:val="16"/>
                <w:lang w:eastAsia="en-GB"/>
              </w:rPr>
              <w:t xml:space="preserve"> </w:t>
            </w:r>
          </w:p>
        </w:tc>
        <w:tc>
          <w:tcPr>
            <w:tcW w:w="960" w:type="dxa"/>
            <w:tcBorders>
              <w:bottom w:val="single" w:sz="8" w:space="0" w:color="000000"/>
              <w:right w:val="single" w:sz="8" w:space="0" w:color="000000"/>
            </w:tcBorders>
            <w:shd w:val="clear" w:color="auto" w:fill="auto"/>
            <w:tcMar>
              <w:top w:w="0" w:type="dxa"/>
              <w:left w:w="100" w:type="dxa"/>
              <w:bottom w:w="0" w:type="dxa"/>
              <w:right w:w="100" w:type="dxa"/>
            </w:tcMar>
          </w:tcPr>
          <w:p w14:paraId="5029FD87" w14:textId="77777777" w:rsidR="003517FF" w:rsidRPr="00585F62" w:rsidRDefault="003517FF" w:rsidP="003517FF">
            <w:pPr>
              <w:suppressAutoHyphens/>
              <w:spacing w:line="1" w:lineRule="atLeast"/>
              <w:ind w:leftChars="-1" w:hangingChars="1" w:hanging="2"/>
              <w:jc w:val="both"/>
              <w:textDirection w:val="btLr"/>
              <w:textAlignment w:val="top"/>
              <w:outlineLvl w:val="0"/>
              <w:rPr>
                <w:color w:val="ED7D31"/>
                <w:position w:val="-1"/>
                <w:sz w:val="16"/>
                <w:szCs w:val="16"/>
                <w:lang w:eastAsia="en-GB"/>
              </w:rPr>
            </w:pPr>
            <w:r w:rsidRPr="00585F62">
              <w:rPr>
                <w:color w:val="ED7D31"/>
                <w:position w:val="-1"/>
                <w:sz w:val="16"/>
                <w:szCs w:val="16"/>
                <w:lang w:eastAsia="en-GB"/>
              </w:rPr>
              <w:t xml:space="preserve"> </w:t>
            </w:r>
          </w:p>
        </w:tc>
        <w:tc>
          <w:tcPr>
            <w:tcW w:w="870" w:type="dxa"/>
            <w:tcBorders>
              <w:bottom w:val="single" w:sz="4" w:space="0" w:color="auto"/>
              <w:right w:val="single" w:sz="8" w:space="0" w:color="000000"/>
            </w:tcBorders>
            <w:shd w:val="clear" w:color="auto" w:fill="B4C6E7" w:themeFill="accent5" w:themeFillTint="66"/>
            <w:tcMar>
              <w:top w:w="0" w:type="dxa"/>
              <w:left w:w="100" w:type="dxa"/>
              <w:bottom w:w="0" w:type="dxa"/>
              <w:right w:w="100" w:type="dxa"/>
            </w:tcMar>
          </w:tcPr>
          <w:p w14:paraId="75EFFB68" w14:textId="77777777" w:rsidR="003517FF" w:rsidRPr="00585F62" w:rsidRDefault="003517FF" w:rsidP="003517FF">
            <w:pPr>
              <w:suppressAutoHyphens/>
              <w:spacing w:line="1" w:lineRule="atLeast"/>
              <w:ind w:leftChars="-1" w:hangingChars="1" w:hanging="2"/>
              <w:jc w:val="both"/>
              <w:textDirection w:val="btLr"/>
              <w:textAlignment w:val="top"/>
              <w:outlineLvl w:val="0"/>
              <w:rPr>
                <w:color w:val="ED7D31"/>
                <w:position w:val="-1"/>
                <w:sz w:val="16"/>
                <w:szCs w:val="16"/>
                <w:lang w:eastAsia="en-GB"/>
              </w:rPr>
            </w:pPr>
          </w:p>
        </w:tc>
      </w:tr>
    </w:tbl>
    <w:p w14:paraId="3C3D1701" w14:textId="77777777" w:rsidR="009C155D" w:rsidRDefault="009C155D" w:rsidP="00FF5224">
      <w:pPr>
        <w:spacing w:line="240" w:lineRule="auto"/>
        <w:jc w:val="both"/>
        <w:rPr>
          <w:sz w:val="24"/>
        </w:rPr>
        <w:sectPr w:rsidR="009C155D" w:rsidSect="000F0589">
          <w:pgSz w:w="11900" w:h="16840"/>
          <w:pgMar w:top="1417" w:right="1417" w:bottom="1417" w:left="1134" w:header="708" w:footer="708" w:gutter="0"/>
          <w:cols w:space="720"/>
          <w:docGrid w:linePitch="272"/>
        </w:sectPr>
      </w:pPr>
    </w:p>
    <w:p w14:paraId="5C9D3847" w14:textId="59B27A44" w:rsidR="003770A3" w:rsidRPr="008F2A92" w:rsidRDefault="003770A3" w:rsidP="008F2A92">
      <w:pPr>
        <w:spacing w:line="240" w:lineRule="auto"/>
        <w:jc w:val="both"/>
        <w:rPr>
          <w:b/>
          <w:sz w:val="22"/>
          <w:szCs w:val="22"/>
        </w:rPr>
      </w:pPr>
      <w:r>
        <w:rPr>
          <w:b/>
          <w:sz w:val="24"/>
        </w:rPr>
        <w:lastRenderedPageBreak/>
        <w:t xml:space="preserve">Annexe 2 : Le </w:t>
      </w:r>
      <w:r w:rsidRPr="008F2A92">
        <w:rPr>
          <w:b/>
          <w:sz w:val="22"/>
          <w:szCs w:val="22"/>
        </w:rPr>
        <w:t>mécanisme Fonds Commun Education (FCE)</w:t>
      </w:r>
    </w:p>
    <w:p w14:paraId="0B7A9EA7" w14:textId="77777777" w:rsidR="003770A3" w:rsidRPr="008F2A92" w:rsidRDefault="003770A3" w:rsidP="008F2A92">
      <w:pPr>
        <w:spacing w:line="240" w:lineRule="auto"/>
        <w:jc w:val="both"/>
        <w:rPr>
          <w:b/>
          <w:sz w:val="22"/>
          <w:szCs w:val="22"/>
        </w:rPr>
      </w:pPr>
    </w:p>
    <w:p w14:paraId="38355FBA" w14:textId="4F4FD8B8" w:rsidR="00C203F9" w:rsidRPr="008F2A92" w:rsidRDefault="003E442B" w:rsidP="008F2A92">
      <w:pPr>
        <w:pStyle w:val="Paragraphedeliste"/>
        <w:numPr>
          <w:ilvl w:val="0"/>
          <w:numId w:val="16"/>
        </w:numPr>
        <w:spacing w:after="0" w:line="240" w:lineRule="auto"/>
        <w:jc w:val="both"/>
        <w:rPr>
          <w:rStyle w:val="Accentuation"/>
          <w:rFonts w:ascii="Times New Roman" w:hAnsi="Times New Roman"/>
          <w:b/>
          <w:i w:val="0"/>
          <w:kern w:val="28"/>
          <w:u w:val="single"/>
        </w:rPr>
      </w:pPr>
      <w:r w:rsidRPr="008F2A92">
        <w:rPr>
          <w:rStyle w:val="Accentuation"/>
          <w:rFonts w:ascii="Times New Roman" w:hAnsi="Times New Roman"/>
          <w:b/>
          <w:i w:val="0"/>
          <w:kern w:val="28"/>
          <w:u w:val="single"/>
        </w:rPr>
        <w:t>L’esprit de montage du FC</w:t>
      </w:r>
      <w:r w:rsidR="00C203F9" w:rsidRPr="008F2A92">
        <w:rPr>
          <w:rStyle w:val="Accentuation"/>
          <w:rFonts w:ascii="Times New Roman" w:hAnsi="Times New Roman"/>
          <w:b/>
          <w:i w:val="0"/>
          <w:kern w:val="28"/>
          <w:u w:val="single"/>
        </w:rPr>
        <w:t>E</w:t>
      </w:r>
    </w:p>
    <w:p w14:paraId="72A638F6" w14:textId="77777777" w:rsidR="00F842A2" w:rsidRPr="008F2A92" w:rsidRDefault="00F842A2" w:rsidP="008F2A92">
      <w:pPr>
        <w:spacing w:line="240" w:lineRule="auto"/>
        <w:jc w:val="both"/>
        <w:rPr>
          <w:sz w:val="22"/>
          <w:szCs w:val="22"/>
        </w:rPr>
      </w:pPr>
    </w:p>
    <w:p w14:paraId="6DE41FC3" w14:textId="4CB7B333" w:rsidR="00C203F9" w:rsidRPr="008F2A92" w:rsidRDefault="003E442B" w:rsidP="008F2A92">
      <w:pPr>
        <w:spacing w:line="240" w:lineRule="auto"/>
        <w:jc w:val="both"/>
        <w:rPr>
          <w:sz w:val="22"/>
          <w:szCs w:val="22"/>
        </w:rPr>
      </w:pPr>
      <w:r w:rsidRPr="008F2A92">
        <w:rPr>
          <w:sz w:val="22"/>
          <w:szCs w:val="22"/>
        </w:rPr>
        <w:t xml:space="preserve">Le FCE est un nouvel instrument financier créé par la Loi des finances de 2019 destiné à soutenir la politique nationale dans le secteur de l’Education et permettant de mutualiser leurs ressources dédiées au large secteur de l’éducation, du préscolaire à l’enseignement supérieur. </w:t>
      </w:r>
      <w:r w:rsidR="00C203F9" w:rsidRPr="008F2A92">
        <w:rPr>
          <w:sz w:val="22"/>
          <w:szCs w:val="22"/>
        </w:rPr>
        <w:t>Il se présente sous forme d’une aide budgétaire ciblée dont les procédures reposent sur les principes suivants :</w:t>
      </w:r>
      <w:bookmarkStart w:id="1" w:name="_Toc14184545"/>
      <w:bookmarkStart w:id="2" w:name="_Toc14244755"/>
      <w:bookmarkStart w:id="3" w:name="_Toc14184546"/>
      <w:bookmarkStart w:id="4" w:name="_Toc14244756"/>
      <w:bookmarkStart w:id="5" w:name="_Toc14184548"/>
      <w:bookmarkStart w:id="6" w:name="_Toc14244758"/>
      <w:bookmarkStart w:id="7" w:name="_Toc14184549"/>
      <w:bookmarkStart w:id="8" w:name="_Toc14244759"/>
      <w:bookmarkStart w:id="9" w:name="_Toc14184550"/>
      <w:bookmarkStart w:id="10" w:name="_Toc14244760"/>
      <w:bookmarkStart w:id="11" w:name="_Toc14184551"/>
      <w:bookmarkStart w:id="12" w:name="_Toc14244761"/>
      <w:bookmarkStart w:id="13" w:name="_Toc14184552"/>
      <w:bookmarkStart w:id="14" w:name="_Toc14244762"/>
      <w:bookmarkStart w:id="15" w:name="_Toc14184553"/>
      <w:bookmarkStart w:id="16" w:name="_Toc14244763"/>
      <w:bookmarkStart w:id="17" w:name="_Toc14184554"/>
      <w:bookmarkStart w:id="18" w:name="_Toc14244764"/>
      <w:bookmarkStart w:id="19" w:name="_Toc14184555"/>
      <w:bookmarkStart w:id="20" w:name="_Toc14244765"/>
      <w:bookmarkStart w:id="21" w:name="_Toc14184581"/>
      <w:bookmarkStart w:id="22" w:name="_Toc14244791"/>
      <w:bookmarkStart w:id="23" w:name="_Toc14184582"/>
      <w:bookmarkStart w:id="24" w:name="_Toc14244792"/>
      <w:bookmarkStart w:id="25" w:name="_Toc14184583"/>
      <w:bookmarkStart w:id="26" w:name="_Toc14244793"/>
      <w:bookmarkStart w:id="27" w:name="_Toc14184584"/>
      <w:bookmarkStart w:id="28" w:name="_Toc14244794"/>
      <w:bookmarkStart w:id="29" w:name="_Toc14184585"/>
      <w:bookmarkStart w:id="30" w:name="_Toc14244795"/>
      <w:bookmarkStart w:id="31" w:name="_Toc14184586"/>
      <w:bookmarkStart w:id="32" w:name="_Toc14244796"/>
      <w:bookmarkStart w:id="33" w:name="_Toc14184587"/>
      <w:bookmarkStart w:id="34" w:name="_Toc1424479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3A37958" w14:textId="77777777" w:rsidR="00C203F9" w:rsidRPr="008F2A92" w:rsidRDefault="00C203F9" w:rsidP="008F2A92">
      <w:pPr>
        <w:spacing w:line="240" w:lineRule="auto"/>
        <w:jc w:val="both"/>
        <w:rPr>
          <w:sz w:val="22"/>
          <w:szCs w:val="22"/>
        </w:rPr>
      </w:pPr>
    </w:p>
    <w:p w14:paraId="11730867" w14:textId="77777777" w:rsidR="00C203F9" w:rsidRPr="008F2A92" w:rsidRDefault="00C203F9" w:rsidP="008F2A92">
      <w:pPr>
        <w:pStyle w:val="Paragraphedeliste"/>
        <w:numPr>
          <w:ilvl w:val="0"/>
          <w:numId w:val="17"/>
        </w:numPr>
        <w:tabs>
          <w:tab w:val="num" w:pos="426"/>
        </w:tabs>
        <w:spacing w:after="0" w:line="240" w:lineRule="auto"/>
        <w:ind w:left="714" w:hanging="357"/>
        <w:jc w:val="both"/>
        <w:rPr>
          <w:rFonts w:ascii="Times New Roman" w:hAnsi="Times New Roman"/>
        </w:rPr>
      </w:pPr>
      <w:r w:rsidRPr="008F2A92">
        <w:rPr>
          <w:rFonts w:ascii="Times New Roman" w:hAnsi="Times New Roman"/>
        </w:rPr>
        <w:t xml:space="preserve">La recherche de l’alignement sur les systèmes nationaux en utilisant chaque fois que possible les procédures nationales ou en définissant des procédures manquantes sur la base des pratiques des acteurs nationaux ; </w:t>
      </w:r>
    </w:p>
    <w:p w14:paraId="05160C52" w14:textId="54AC3EE3" w:rsidR="00C203F9" w:rsidRPr="008F2A92" w:rsidRDefault="00C203F9" w:rsidP="008F2A92">
      <w:pPr>
        <w:pStyle w:val="Paragraphedeliste"/>
        <w:numPr>
          <w:ilvl w:val="0"/>
          <w:numId w:val="17"/>
        </w:numPr>
        <w:tabs>
          <w:tab w:val="num" w:pos="426"/>
        </w:tabs>
        <w:spacing w:after="0" w:line="240" w:lineRule="auto"/>
        <w:ind w:left="714" w:hanging="357"/>
        <w:jc w:val="both"/>
        <w:rPr>
          <w:rFonts w:ascii="Times New Roman" w:hAnsi="Times New Roman"/>
        </w:rPr>
      </w:pPr>
      <w:r w:rsidRPr="008F2A92">
        <w:rPr>
          <w:rFonts w:ascii="Times New Roman" w:hAnsi="Times New Roman"/>
        </w:rPr>
        <w:t>Le renforcement de l’appropriation par les institutions nationales des opérations et des financements du FCE, pour une meilleure exécution des activités et des dépenses ; </w:t>
      </w:r>
    </w:p>
    <w:p w14:paraId="39E36268" w14:textId="699CFD91" w:rsidR="00C203F9" w:rsidRPr="008F2A92" w:rsidRDefault="00C203F9" w:rsidP="008F2A92">
      <w:pPr>
        <w:pStyle w:val="Paragraphedeliste"/>
        <w:numPr>
          <w:ilvl w:val="0"/>
          <w:numId w:val="17"/>
        </w:numPr>
        <w:tabs>
          <w:tab w:val="num" w:pos="426"/>
        </w:tabs>
        <w:spacing w:after="0" w:line="240" w:lineRule="auto"/>
        <w:ind w:left="714" w:hanging="357"/>
        <w:jc w:val="both"/>
        <w:rPr>
          <w:rFonts w:ascii="Times New Roman" w:hAnsi="Times New Roman"/>
        </w:rPr>
      </w:pPr>
      <w:r w:rsidRPr="008F2A92">
        <w:rPr>
          <w:rFonts w:ascii="Times New Roman" w:hAnsi="Times New Roman"/>
        </w:rPr>
        <w:t xml:space="preserve">La définition de règles visant à renforcer et clarifier les rôles et les relations entre les parties prenantes de l’exécution du FCE sur la base des règles de l’administration et du </w:t>
      </w:r>
      <w:r w:rsidR="002F71B1" w:rsidRPr="008F2A92">
        <w:rPr>
          <w:rFonts w:ascii="Times New Roman" w:hAnsi="Times New Roman"/>
        </w:rPr>
        <w:t>manuel des procédures</w:t>
      </w:r>
      <w:r w:rsidRPr="008F2A92">
        <w:rPr>
          <w:rFonts w:ascii="Times New Roman" w:hAnsi="Times New Roman"/>
        </w:rPr>
        <w:t> ;</w:t>
      </w:r>
    </w:p>
    <w:p w14:paraId="63430798" w14:textId="710A7E60" w:rsidR="00C203F9" w:rsidRPr="008F2A92" w:rsidRDefault="00C203F9" w:rsidP="008F2A92">
      <w:pPr>
        <w:pStyle w:val="Paragraphedeliste"/>
        <w:numPr>
          <w:ilvl w:val="0"/>
          <w:numId w:val="17"/>
        </w:numPr>
        <w:tabs>
          <w:tab w:val="num" w:pos="426"/>
        </w:tabs>
        <w:spacing w:after="0" w:line="240" w:lineRule="auto"/>
        <w:ind w:left="714" w:hanging="357"/>
        <w:jc w:val="both"/>
        <w:rPr>
          <w:rFonts w:ascii="Times New Roman" w:hAnsi="Times New Roman"/>
        </w:rPr>
      </w:pPr>
      <w:r w:rsidRPr="008F2A92">
        <w:rPr>
          <w:rFonts w:ascii="Times New Roman" w:hAnsi="Times New Roman"/>
        </w:rPr>
        <w:t>La traçabilité des crédits en Loi de finances et la sanct</w:t>
      </w:r>
      <w:r w:rsidR="002F71B1" w:rsidRPr="008F2A92">
        <w:rPr>
          <w:rFonts w:ascii="Times New Roman" w:hAnsi="Times New Roman"/>
        </w:rPr>
        <w:t>uarisation des ressources du FC</w:t>
      </w:r>
      <w:r w:rsidRPr="008F2A92">
        <w:rPr>
          <w:rFonts w:ascii="Times New Roman" w:hAnsi="Times New Roman"/>
        </w:rPr>
        <w:t xml:space="preserve">E dans des comptes </w:t>
      </w:r>
      <w:r w:rsidR="002F71B1" w:rsidRPr="008F2A92">
        <w:rPr>
          <w:rFonts w:ascii="Times New Roman" w:hAnsi="Times New Roman"/>
        </w:rPr>
        <w:t>d’affectation spéciale</w:t>
      </w:r>
      <w:r w:rsidRPr="008F2A92">
        <w:rPr>
          <w:rFonts w:ascii="Times New Roman" w:hAnsi="Times New Roman"/>
        </w:rPr>
        <w:t>.</w:t>
      </w:r>
    </w:p>
    <w:p w14:paraId="1D874DEE" w14:textId="77777777" w:rsidR="00C203F9" w:rsidRPr="008F2A92" w:rsidRDefault="00C203F9" w:rsidP="008F2A92">
      <w:pPr>
        <w:spacing w:line="240" w:lineRule="auto"/>
        <w:jc w:val="both"/>
        <w:rPr>
          <w:sz w:val="22"/>
          <w:szCs w:val="22"/>
        </w:rPr>
      </w:pPr>
    </w:p>
    <w:p w14:paraId="6AC552AA" w14:textId="059905CB" w:rsidR="00C203F9" w:rsidRPr="008F2A92" w:rsidRDefault="002F71B1" w:rsidP="008F2A92">
      <w:pPr>
        <w:spacing w:line="240" w:lineRule="auto"/>
        <w:jc w:val="both"/>
        <w:rPr>
          <w:sz w:val="22"/>
          <w:szCs w:val="22"/>
        </w:rPr>
      </w:pPr>
      <w:r w:rsidRPr="008F2A92">
        <w:rPr>
          <w:sz w:val="22"/>
          <w:szCs w:val="22"/>
        </w:rPr>
        <w:t>Le FC</w:t>
      </w:r>
      <w:r w:rsidR="00C203F9" w:rsidRPr="008F2A92">
        <w:rPr>
          <w:sz w:val="22"/>
          <w:szCs w:val="22"/>
        </w:rPr>
        <w:t>E vise ainsi à améliorer l’efficacité et la gouvernance du système éducatif à travers les éléments suivants :</w:t>
      </w:r>
    </w:p>
    <w:p w14:paraId="2F012E3B" w14:textId="77777777" w:rsidR="00C203F9" w:rsidRPr="008F2A92" w:rsidRDefault="00C203F9" w:rsidP="008F2A92">
      <w:pPr>
        <w:spacing w:line="240" w:lineRule="auto"/>
        <w:jc w:val="both"/>
        <w:rPr>
          <w:sz w:val="22"/>
          <w:szCs w:val="22"/>
        </w:rPr>
      </w:pPr>
    </w:p>
    <w:p w14:paraId="5B576B9E" w14:textId="627739BC" w:rsidR="00C203F9" w:rsidRPr="008F2A92" w:rsidRDefault="00C203F9" w:rsidP="008F2A92">
      <w:pPr>
        <w:pStyle w:val="Paragraphedeliste"/>
        <w:numPr>
          <w:ilvl w:val="0"/>
          <w:numId w:val="18"/>
        </w:numPr>
        <w:spacing w:after="0" w:line="240" w:lineRule="auto"/>
        <w:ind w:left="425" w:hanging="357"/>
        <w:jc w:val="both"/>
        <w:rPr>
          <w:rFonts w:ascii="Times New Roman" w:eastAsia="Times New Roman" w:hAnsi="Times New Roman"/>
          <w:lang w:eastAsia="fr-FR"/>
        </w:rPr>
      </w:pPr>
      <w:r w:rsidRPr="008F2A92">
        <w:rPr>
          <w:rFonts w:ascii="Times New Roman" w:eastAsia="Times New Roman" w:hAnsi="Times New Roman"/>
          <w:b/>
          <w:lang w:eastAsia="fr-FR"/>
        </w:rPr>
        <w:t>L’allocation large des ressources</w:t>
      </w:r>
      <w:r w:rsidRPr="008F2A92">
        <w:rPr>
          <w:rFonts w:ascii="Times New Roman" w:eastAsia="Times New Roman" w:hAnsi="Times New Roman"/>
          <w:lang w:eastAsia="fr-FR"/>
        </w:rPr>
        <w:t xml:space="preserve"> pour améliorer l’équilibre des financements entre sous-secteurs au regard des objectifs </w:t>
      </w:r>
      <w:r w:rsidR="003E442B" w:rsidRPr="008F2A92">
        <w:rPr>
          <w:rFonts w:ascii="Times New Roman" w:eastAsia="Times New Roman" w:hAnsi="Times New Roman"/>
          <w:lang w:eastAsia="fr-FR"/>
        </w:rPr>
        <w:t>des politiques sectorielles</w:t>
      </w:r>
      <w:r w:rsidRPr="008F2A92">
        <w:rPr>
          <w:rFonts w:ascii="Times New Roman" w:eastAsia="Times New Roman" w:hAnsi="Times New Roman"/>
          <w:lang w:eastAsia="fr-FR"/>
        </w:rPr>
        <w:t xml:space="preserve"> ainsi que le dialogue interministériel et entre sous-cycles d’enseignement. </w:t>
      </w:r>
    </w:p>
    <w:p w14:paraId="43C8729A" w14:textId="77777777" w:rsidR="00C203F9" w:rsidRPr="008F2A92" w:rsidRDefault="00C203F9" w:rsidP="008F2A92">
      <w:pPr>
        <w:pStyle w:val="Paragraphedeliste"/>
        <w:numPr>
          <w:ilvl w:val="0"/>
          <w:numId w:val="18"/>
        </w:numPr>
        <w:spacing w:after="0" w:line="240" w:lineRule="auto"/>
        <w:ind w:left="425" w:hanging="357"/>
        <w:jc w:val="both"/>
        <w:rPr>
          <w:rFonts w:ascii="Times New Roman" w:eastAsia="Times New Roman" w:hAnsi="Times New Roman"/>
          <w:lang w:eastAsia="fr-FR"/>
        </w:rPr>
      </w:pPr>
      <w:r w:rsidRPr="008F2A92">
        <w:rPr>
          <w:rFonts w:ascii="Times New Roman" w:eastAsia="Times New Roman" w:hAnsi="Times New Roman"/>
          <w:b/>
          <w:lang w:eastAsia="fr-FR"/>
        </w:rPr>
        <w:t>L’alignement et la complémentarité avec le budget de l’Etat</w:t>
      </w:r>
      <w:r w:rsidRPr="008F2A92">
        <w:rPr>
          <w:rFonts w:ascii="Times New Roman" w:eastAsia="Times New Roman" w:hAnsi="Times New Roman"/>
          <w:lang w:eastAsia="fr-FR"/>
        </w:rPr>
        <w:t xml:space="preserve"> pour améliorer le dialogue avec le gouvernement autour des politiques publiques et avoir un effet de levier sur l’allocation des ressources nationales et les mesures prises.</w:t>
      </w:r>
    </w:p>
    <w:p w14:paraId="7BE14E7D" w14:textId="12EED6F0" w:rsidR="00C203F9" w:rsidRPr="008F2A92" w:rsidRDefault="00C203F9" w:rsidP="008F2A92">
      <w:pPr>
        <w:pStyle w:val="Paragraphedeliste"/>
        <w:numPr>
          <w:ilvl w:val="0"/>
          <w:numId w:val="18"/>
        </w:numPr>
        <w:spacing w:after="0" w:line="240" w:lineRule="auto"/>
        <w:ind w:left="425" w:hanging="357"/>
        <w:jc w:val="both"/>
        <w:rPr>
          <w:rFonts w:ascii="Times New Roman" w:eastAsia="Times New Roman" w:hAnsi="Times New Roman"/>
          <w:lang w:eastAsia="fr-FR"/>
        </w:rPr>
      </w:pPr>
      <w:r w:rsidRPr="008F2A92">
        <w:rPr>
          <w:rFonts w:ascii="Times New Roman" w:eastAsia="Times New Roman" w:hAnsi="Times New Roman"/>
          <w:b/>
          <w:lang w:eastAsia="fr-FR"/>
        </w:rPr>
        <w:t>La prévisibilité des dépenses</w:t>
      </w:r>
      <w:r w:rsidRPr="008F2A92">
        <w:rPr>
          <w:rFonts w:ascii="Times New Roman" w:eastAsia="Times New Roman" w:hAnsi="Times New Roman"/>
          <w:lang w:eastAsia="fr-FR"/>
        </w:rPr>
        <w:t xml:space="preserve"> pour accompagner l’amélioration de l’efficience des dépenses et la rationalisation des coûts de transaction.</w:t>
      </w:r>
    </w:p>
    <w:p w14:paraId="0D8D1BBB" w14:textId="77777777" w:rsidR="00C203F9" w:rsidRPr="008F2A92" w:rsidRDefault="00C203F9" w:rsidP="008F2A92">
      <w:pPr>
        <w:pStyle w:val="Paragraphedeliste"/>
        <w:numPr>
          <w:ilvl w:val="0"/>
          <w:numId w:val="18"/>
        </w:numPr>
        <w:spacing w:after="0" w:line="240" w:lineRule="auto"/>
        <w:ind w:left="425" w:hanging="357"/>
        <w:jc w:val="both"/>
        <w:rPr>
          <w:rFonts w:ascii="Times New Roman" w:eastAsia="Times New Roman" w:hAnsi="Times New Roman"/>
          <w:lang w:eastAsia="fr-FR"/>
        </w:rPr>
      </w:pPr>
      <w:r w:rsidRPr="008F2A92">
        <w:rPr>
          <w:rFonts w:ascii="Times New Roman" w:eastAsia="Times New Roman" w:hAnsi="Times New Roman"/>
          <w:b/>
          <w:lang w:eastAsia="fr-FR"/>
        </w:rPr>
        <w:t>Un important dispositif de renforcement des capacités</w:t>
      </w:r>
      <w:r w:rsidRPr="008F2A92">
        <w:rPr>
          <w:rFonts w:ascii="Times New Roman" w:eastAsia="Times New Roman" w:hAnsi="Times New Roman"/>
          <w:lang w:eastAsia="fr-FR"/>
        </w:rPr>
        <w:t xml:space="preserve">, en complémentarité des appuis existants, pour améliorer l’efficacité de la gestion du système, en particulier la gestion des finances publiques et la passation des marchés en éducation, la décentralisation et l’accompagnement des ministères dans leur rôle de régulateur du système, la planification, la coordination, le suivi-évaluation du secteur ainsi que la gestion des infrastructures. </w:t>
      </w:r>
    </w:p>
    <w:p w14:paraId="796D9465" w14:textId="77777777" w:rsidR="00C203F9" w:rsidRPr="008F2A92" w:rsidRDefault="00C203F9" w:rsidP="008F2A92">
      <w:pPr>
        <w:pStyle w:val="Paragraphedeliste"/>
        <w:numPr>
          <w:ilvl w:val="0"/>
          <w:numId w:val="18"/>
        </w:numPr>
        <w:spacing w:after="0" w:line="240" w:lineRule="auto"/>
        <w:ind w:left="426"/>
        <w:jc w:val="both"/>
        <w:rPr>
          <w:rFonts w:ascii="Times New Roman" w:eastAsia="Times New Roman" w:hAnsi="Times New Roman"/>
          <w:lang w:eastAsia="fr-FR"/>
        </w:rPr>
      </w:pPr>
      <w:r w:rsidRPr="008F2A92">
        <w:rPr>
          <w:rFonts w:ascii="Times New Roman" w:eastAsia="Times New Roman" w:hAnsi="Times New Roman"/>
          <w:lang w:eastAsia="fr-FR"/>
        </w:rPr>
        <w:t xml:space="preserve">Enfin, </w:t>
      </w:r>
      <w:r w:rsidRPr="008F2A92">
        <w:rPr>
          <w:rFonts w:ascii="Times New Roman" w:eastAsia="Times New Roman" w:hAnsi="Times New Roman"/>
          <w:b/>
          <w:lang w:eastAsia="fr-FR"/>
        </w:rPr>
        <w:t xml:space="preserve">une démarche progressive et structurante centrée sur la définition des modes opératoires clés du système </w:t>
      </w:r>
      <w:r w:rsidRPr="008F2A92">
        <w:rPr>
          <w:rFonts w:ascii="Times New Roman" w:eastAsia="Times New Roman" w:hAnsi="Times New Roman"/>
          <w:lang w:eastAsia="fr-FR"/>
        </w:rPr>
        <w:t>pour faire évoluer les pratiques des acteurs et ainsi améliorer l’efficacité du système.</w:t>
      </w:r>
    </w:p>
    <w:p w14:paraId="7BE2E11F" w14:textId="77777777" w:rsidR="00C203F9" w:rsidRPr="008F2A92" w:rsidRDefault="00C203F9" w:rsidP="008F2A92">
      <w:pPr>
        <w:pStyle w:val="Paragraphedeliste"/>
        <w:spacing w:after="0" w:line="240" w:lineRule="auto"/>
        <w:ind w:left="426"/>
        <w:jc w:val="both"/>
        <w:rPr>
          <w:rFonts w:ascii="Times New Roman" w:eastAsia="Times New Roman" w:hAnsi="Times New Roman"/>
          <w:lang w:eastAsia="fr-FR"/>
        </w:rPr>
      </w:pPr>
    </w:p>
    <w:p w14:paraId="49E35AF9" w14:textId="57C08846" w:rsidR="00C203F9" w:rsidRPr="008F2A92" w:rsidRDefault="003E442B" w:rsidP="008F2A92">
      <w:pPr>
        <w:spacing w:line="240" w:lineRule="auto"/>
        <w:jc w:val="both"/>
        <w:rPr>
          <w:sz w:val="22"/>
          <w:szCs w:val="22"/>
        </w:rPr>
      </w:pPr>
      <w:r w:rsidRPr="008F2A92">
        <w:rPr>
          <w:sz w:val="22"/>
          <w:szCs w:val="22"/>
        </w:rPr>
        <w:t>Le FC</w:t>
      </w:r>
      <w:r w:rsidR="00C203F9" w:rsidRPr="008F2A92">
        <w:rPr>
          <w:sz w:val="22"/>
          <w:szCs w:val="22"/>
        </w:rPr>
        <w:t xml:space="preserve">E s’appuie sur les organes de pilotage et de suivi du secteur : revues sectorielles, des comités techniques centraux et régionaux et du Groupe des partenaires locaux pour l’éducation (GPLE). Le Comité </w:t>
      </w:r>
      <w:r w:rsidRPr="008F2A92">
        <w:rPr>
          <w:sz w:val="22"/>
          <w:szCs w:val="22"/>
        </w:rPr>
        <w:t xml:space="preserve">de suivi </w:t>
      </w:r>
      <w:r w:rsidR="00C203F9" w:rsidRPr="008F2A92">
        <w:rPr>
          <w:sz w:val="22"/>
          <w:szCs w:val="22"/>
        </w:rPr>
        <w:t xml:space="preserve">du FCE se réunit toutes les </w:t>
      </w:r>
      <w:r w:rsidRPr="008F2A92">
        <w:rPr>
          <w:sz w:val="22"/>
          <w:szCs w:val="22"/>
        </w:rPr>
        <w:t>bimestres</w:t>
      </w:r>
      <w:r w:rsidR="00C203F9" w:rsidRPr="008F2A92">
        <w:rPr>
          <w:sz w:val="22"/>
          <w:szCs w:val="22"/>
        </w:rPr>
        <w:t xml:space="preserve"> pour assurer un suivi régulier du </w:t>
      </w:r>
      <w:r w:rsidRPr="008F2A92">
        <w:rPr>
          <w:sz w:val="22"/>
          <w:szCs w:val="22"/>
        </w:rPr>
        <w:t>mécanisme</w:t>
      </w:r>
      <w:r w:rsidR="00C203F9" w:rsidRPr="008F2A92">
        <w:rPr>
          <w:sz w:val="22"/>
          <w:szCs w:val="22"/>
        </w:rPr>
        <w:t xml:space="preserve">. Il est composé des Secrétaires généraux des </w:t>
      </w:r>
      <w:r w:rsidRPr="008F2A92">
        <w:rPr>
          <w:sz w:val="22"/>
          <w:szCs w:val="22"/>
        </w:rPr>
        <w:t>trois</w:t>
      </w:r>
      <w:r w:rsidR="00C203F9" w:rsidRPr="008F2A92">
        <w:rPr>
          <w:sz w:val="22"/>
          <w:szCs w:val="22"/>
        </w:rPr>
        <w:t xml:space="preserve"> ministères de l’éducation et de la formation, du Secrétaire général du ministère en charge de</w:t>
      </w:r>
      <w:r w:rsidRPr="008F2A92">
        <w:rPr>
          <w:sz w:val="22"/>
          <w:szCs w:val="22"/>
        </w:rPr>
        <w:t>s finances,</w:t>
      </w:r>
      <w:r w:rsidR="00C203F9" w:rsidRPr="008F2A92">
        <w:rPr>
          <w:sz w:val="22"/>
          <w:szCs w:val="22"/>
        </w:rPr>
        <w:t xml:space="preserve"> des PTF abondant au FCSE</w:t>
      </w:r>
      <w:r w:rsidRPr="008F2A92">
        <w:rPr>
          <w:sz w:val="22"/>
          <w:szCs w:val="22"/>
        </w:rPr>
        <w:t xml:space="preserve"> et de toutes les personnes ressources concernées.</w:t>
      </w:r>
    </w:p>
    <w:p w14:paraId="3225CDE9" w14:textId="0E09CE7B" w:rsidR="00C203F9" w:rsidRPr="008F2A92" w:rsidRDefault="00C203F9" w:rsidP="008F2A92">
      <w:pPr>
        <w:spacing w:line="240" w:lineRule="auto"/>
        <w:jc w:val="both"/>
        <w:rPr>
          <w:sz w:val="22"/>
          <w:szCs w:val="22"/>
        </w:rPr>
      </w:pPr>
    </w:p>
    <w:p w14:paraId="52E0F6CB" w14:textId="77777777" w:rsidR="00077524" w:rsidRPr="008F2A92" w:rsidRDefault="00077524" w:rsidP="008F2A92">
      <w:pPr>
        <w:spacing w:line="240" w:lineRule="auto"/>
        <w:jc w:val="both"/>
        <w:rPr>
          <w:sz w:val="22"/>
          <w:szCs w:val="22"/>
        </w:rPr>
      </w:pPr>
    </w:p>
    <w:p w14:paraId="6F593A1C" w14:textId="6D114019" w:rsidR="00C203F9" w:rsidRPr="008F2A92" w:rsidRDefault="003E442B" w:rsidP="008F2A92">
      <w:pPr>
        <w:pStyle w:val="Paragraphedeliste"/>
        <w:numPr>
          <w:ilvl w:val="0"/>
          <w:numId w:val="16"/>
        </w:numPr>
        <w:spacing w:after="0" w:line="240" w:lineRule="auto"/>
        <w:jc w:val="both"/>
        <w:rPr>
          <w:rStyle w:val="Accentuation"/>
          <w:rFonts w:ascii="Times New Roman" w:hAnsi="Times New Roman"/>
          <w:b/>
          <w:i w:val="0"/>
          <w:kern w:val="28"/>
          <w:u w:val="single"/>
        </w:rPr>
      </w:pPr>
      <w:r w:rsidRPr="008F2A92">
        <w:rPr>
          <w:rStyle w:val="Accentuation"/>
          <w:rFonts w:ascii="Times New Roman" w:hAnsi="Times New Roman"/>
          <w:b/>
          <w:i w:val="0"/>
          <w:kern w:val="28"/>
          <w:u w:val="single"/>
        </w:rPr>
        <w:t>Le fonctionnement du FC</w:t>
      </w:r>
      <w:r w:rsidR="00C203F9" w:rsidRPr="008F2A92">
        <w:rPr>
          <w:rStyle w:val="Accentuation"/>
          <w:rFonts w:ascii="Times New Roman" w:hAnsi="Times New Roman"/>
          <w:b/>
          <w:i w:val="0"/>
          <w:kern w:val="28"/>
          <w:u w:val="single"/>
        </w:rPr>
        <w:t>E</w:t>
      </w:r>
    </w:p>
    <w:p w14:paraId="4D17358A" w14:textId="77777777" w:rsidR="00F842A2" w:rsidRPr="008F2A92" w:rsidRDefault="00F842A2" w:rsidP="008F2A92">
      <w:pPr>
        <w:spacing w:line="240" w:lineRule="auto"/>
        <w:jc w:val="both"/>
        <w:rPr>
          <w:sz w:val="22"/>
          <w:szCs w:val="22"/>
        </w:rPr>
      </w:pPr>
    </w:p>
    <w:p w14:paraId="0E6DC23B" w14:textId="0B4BD01D" w:rsidR="00C203F9" w:rsidRPr="008F2A92" w:rsidRDefault="00C203F9" w:rsidP="008F2A92">
      <w:pPr>
        <w:spacing w:line="240" w:lineRule="auto"/>
        <w:jc w:val="both"/>
        <w:rPr>
          <w:sz w:val="22"/>
          <w:szCs w:val="22"/>
        </w:rPr>
      </w:pPr>
      <w:r w:rsidRPr="008F2A92">
        <w:rPr>
          <w:sz w:val="22"/>
          <w:szCs w:val="22"/>
        </w:rPr>
        <w:t>L’anal</w:t>
      </w:r>
      <w:r w:rsidR="003E442B" w:rsidRPr="008F2A92">
        <w:rPr>
          <w:sz w:val="22"/>
          <w:szCs w:val="22"/>
        </w:rPr>
        <w:t>yse menée lors du montage du FC</w:t>
      </w:r>
      <w:r w:rsidRPr="008F2A92">
        <w:rPr>
          <w:sz w:val="22"/>
          <w:szCs w:val="22"/>
        </w:rPr>
        <w:t>E fait en partie ressortir des éléments de risques relatifs à i) la fongibilité avec le budget national, ii) la gestion fiduciaire et de la passation des marchés, iii) la coordination, iv) la planification, v) l’absence de modalités de mise en œuvre stabilisées et vi) l’absence d’assistance technique bien dimensionnée et de mécanismes permettant d’impulser la gestion axée sur les résultats et d’encourager une plus grande redevabilité. Pour atténuer ces risques, le fonctionnement du FCE se base sur les éléments suivants :</w:t>
      </w:r>
    </w:p>
    <w:p w14:paraId="23C115C5" w14:textId="77777777" w:rsidR="00C203F9" w:rsidRPr="008F2A92" w:rsidRDefault="00C203F9" w:rsidP="008F2A92">
      <w:pPr>
        <w:spacing w:line="240" w:lineRule="auto"/>
        <w:jc w:val="both"/>
        <w:rPr>
          <w:sz w:val="22"/>
          <w:szCs w:val="22"/>
        </w:rPr>
      </w:pPr>
    </w:p>
    <w:p w14:paraId="416CF338" w14:textId="359770F4" w:rsidR="00C203F9" w:rsidRPr="008F2A92" w:rsidRDefault="00C203F9" w:rsidP="008F2A92">
      <w:pPr>
        <w:spacing w:line="240" w:lineRule="auto"/>
        <w:jc w:val="both"/>
        <w:rPr>
          <w:sz w:val="22"/>
          <w:szCs w:val="22"/>
        </w:rPr>
      </w:pPr>
      <w:r w:rsidRPr="008F2A92">
        <w:rPr>
          <w:sz w:val="22"/>
          <w:szCs w:val="22"/>
        </w:rPr>
        <w:t>i)</w:t>
      </w:r>
      <w:r w:rsidRPr="008F2A92">
        <w:rPr>
          <w:b/>
          <w:sz w:val="22"/>
          <w:szCs w:val="22"/>
        </w:rPr>
        <w:t xml:space="preserve"> Les fonds du FCE sont inscrits en recettes et en dépenses au budget de l’Etat au sein de lignes dédiées au niveau de chaque ministère technique et de la Primature, selon la nomenclature des budgets programmes</w:t>
      </w:r>
      <w:r w:rsidRPr="008F2A92">
        <w:rPr>
          <w:sz w:val="22"/>
          <w:szCs w:val="22"/>
        </w:rPr>
        <w:t>. Les fonds ne sont pas fongibles avec ceux du budget de l’Etat et sont sanctuarisés. Ceci constitue une mesure dérogatoire forte permettant à la fois de répondre aux défis constatés sur les précédentes expériences d’approche programme et aux difficultés d’exécution des budgets de l’Etat (tensions de trésorerie dues au nivellement et aux régulations régulières) tout en garantissant l’affectation des crédits au secteur dans un contexte de tension budgétaire. Les financements sont domiciliés dans un compte pivot recevant les co</w:t>
      </w:r>
      <w:r w:rsidR="00A854A3" w:rsidRPr="008F2A92">
        <w:rPr>
          <w:sz w:val="22"/>
          <w:szCs w:val="22"/>
        </w:rPr>
        <w:t>ntributions des bailleurs du FC</w:t>
      </w:r>
      <w:r w:rsidRPr="008F2A92">
        <w:rPr>
          <w:sz w:val="22"/>
          <w:szCs w:val="22"/>
        </w:rPr>
        <w:t xml:space="preserve">E et alimentant </w:t>
      </w:r>
      <w:r w:rsidR="00A854A3" w:rsidRPr="008F2A92">
        <w:rPr>
          <w:sz w:val="22"/>
          <w:szCs w:val="22"/>
        </w:rPr>
        <w:t>un compte dédié en Ariary ouvert</w:t>
      </w:r>
      <w:r w:rsidRPr="008F2A92">
        <w:rPr>
          <w:sz w:val="22"/>
          <w:szCs w:val="22"/>
        </w:rPr>
        <w:t xml:space="preserve"> au nom du Trésor</w:t>
      </w:r>
      <w:r w:rsidR="00A854A3" w:rsidRPr="008F2A92">
        <w:rPr>
          <w:sz w:val="22"/>
          <w:szCs w:val="22"/>
        </w:rPr>
        <w:t xml:space="preserve">ier Ministériel de l’Education </w:t>
      </w:r>
      <w:r w:rsidRPr="008F2A92">
        <w:rPr>
          <w:sz w:val="22"/>
          <w:szCs w:val="22"/>
        </w:rPr>
        <w:t xml:space="preserve">à la </w:t>
      </w:r>
      <w:r w:rsidR="00A854A3" w:rsidRPr="008F2A92">
        <w:rPr>
          <w:sz w:val="22"/>
          <w:szCs w:val="22"/>
        </w:rPr>
        <w:t>Banque Centrale de Madagascar</w:t>
      </w:r>
      <w:r w:rsidRPr="008F2A92">
        <w:rPr>
          <w:sz w:val="22"/>
          <w:szCs w:val="22"/>
        </w:rPr>
        <w:t xml:space="preserve">. </w:t>
      </w:r>
      <w:r w:rsidR="00A854A3" w:rsidRPr="008F2A92">
        <w:rPr>
          <w:sz w:val="22"/>
          <w:szCs w:val="22"/>
        </w:rPr>
        <w:t>Ce compte en Ariary est utilisé pour toutes les dépenses du FCE, normales, par bons de caisse ou en régie.</w:t>
      </w:r>
    </w:p>
    <w:p w14:paraId="0BBB7E38" w14:textId="77777777" w:rsidR="00C203F9" w:rsidRPr="008F2A92" w:rsidRDefault="00C203F9" w:rsidP="008F2A92">
      <w:pPr>
        <w:spacing w:line="240" w:lineRule="auto"/>
        <w:jc w:val="both"/>
        <w:rPr>
          <w:sz w:val="22"/>
          <w:szCs w:val="22"/>
        </w:rPr>
      </w:pPr>
    </w:p>
    <w:p w14:paraId="57E76AA9" w14:textId="612FCC5C" w:rsidR="00C203F9" w:rsidRPr="008F2A92" w:rsidRDefault="00C203F9" w:rsidP="008F2A92">
      <w:pPr>
        <w:spacing w:line="240" w:lineRule="auto"/>
        <w:jc w:val="both"/>
        <w:rPr>
          <w:sz w:val="22"/>
          <w:szCs w:val="22"/>
        </w:rPr>
      </w:pPr>
      <w:r w:rsidRPr="008F2A92">
        <w:rPr>
          <w:sz w:val="22"/>
          <w:szCs w:val="22"/>
        </w:rPr>
        <w:t xml:space="preserve">ii) </w:t>
      </w:r>
      <w:r w:rsidRPr="008F2A92">
        <w:rPr>
          <w:b/>
          <w:sz w:val="22"/>
          <w:szCs w:val="22"/>
        </w:rPr>
        <w:t>La trésorerie n’étant pas fongible avec le budget de l’Etat, elle n’est donc pas soumise aux régulations et libérations trimestrielles telles que réalisées par le ministère des Finances</w:t>
      </w:r>
      <w:r w:rsidRPr="008F2A92">
        <w:rPr>
          <w:sz w:val="22"/>
          <w:szCs w:val="22"/>
        </w:rPr>
        <w:t>. Ceci garantit la disponibilité des fonds selon le calendrier budgétaire national</w:t>
      </w:r>
      <w:r w:rsidR="00A854A3" w:rsidRPr="008F2A92">
        <w:rPr>
          <w:sz w:val="22"/>
          <w:szCs w:val="22"/>
        </w:rPr>
        <w:t>,</w:t>
      </w:r>
      <w:r w:rsidRPr="008F2A92">
        <w:rPr>
          <w:sz w:val="22"/>
          <w:szCs w:val="22"/>
        </w:rPr>
        <w:t xml:space="preserve"> </w:t>
      </w:r>
      <w:r w:rsidR="00A854A3" w:rsidRPr="008F2A92">
        <w:rPr>
          <w:sz w:val="22"/>
          <w:szCs w:val="22"/>
        </w:rPr>
        <w:t>fixé par arrêté</w:t>
      </w:r>
      <w:r w:rsidRPr="008F2A92">
        <w:rPr>
          <w:sz w:val="22"/>
          <w:szCs w:val="22"/>
        </w:rPr>
        <w:t xml:space="preserve"> chaque année</w:t>
      </w:r>
      <w:r w:rsidR="00A854A3" w:rsidRPr="008F2A92">
        <w:rPr>
          <w:sz w:val="22"/>
          <w:szCs w:val="22"/>
        </w:rPr>
        <w:t>,</w:t>
      </w:r>
      <w:r w:rsidRPr="008F2A92">
        <w:rPr>
          <w:sz w:val="22"/>
          <w:szCs w:val="22"/>
        </w:rPr>
        <w:t xml:space="preserve"> pour effectuer les engagements et pour effectuer les paiements.</w:t>
      </w:r>
    </w:p>
    <w:p w14:paraId="63F3B5C0" w14:textId="77777777" w:rsidR="00C203F9" w:rsidRPr="008F2A92" w:rsidRDefault="00C203F9" w:rsidP="008F2A92">
      <w:pPr>
        <w:spacing w:line="240" w:lineRule="auto"/>
        <w:jc w:val="both"/>
        <w:rPr>
          <w:sz w:val="22"/>
          <w:szCs w:val="22"/>
        </w:rPr>
      </w:pPr>
    </w:p>
    <w:p w14:paraId="17907738" w14:textId="1C2C1EBF" w:rsidR="00C203F9" w:rsidRPr="008F2A92" w:rsidRDefault="00C203F9" w:rsidP="008F2A92">
      <w:pPr>
        <w:spacing w:line="240" w:lineRule="auto"/>
        <w:jc w:val="both"/>
        <w:rPr>
          <w:sz w:val="22"/>
          <w:szCs w:val="22"/>
        </w:rPr>
      </w:pPr>
      <w:r w:rsidRPr="008F2A92">
        <w:rPr>
          <w:sz w:val="22"/>
          <w:szCs w:val="22"/>
        </w:rPr>
        <w:t>Les décaissements des partenaires</w:t>
      </w:r>
      <w:r w:rsidR="00A854A3" w:rsidRPr="008F2A92">
        <w:rPr>
          <w:sz w:val="22"/>
          <w:szCs w:val="22"/>
        </w:rPr>
        <w:t xml:space="preserve"> du FC</w:t>
      </w:r>
      <w:r w:rsidRPr="008F2A92">
        <w:rPr>
          <w:sz w:val="22"/>
          <w:szCs w:val="22"/>
        </w:rPr>
        <w:t xml:space="preserve">E sont réalisés de préférence en une tranche annuelle selon les besoins de trésorerie. Les décisions de décaissement sont prises par consensus entre les partenaires du FCE après appréciation des documents listés dans le manuel de procédures. L’approvisionnement des comptes séquestre à partir du compte pivot est réalisé par le Trésorier </w:t>
      </w:r>
      <w:r w:rsidR="00A854A3" w:rsidRPr="008F2A92">
        <w:rPr>
          <w:sz w:val="22"/>
          <w:szCs w:val="22"/>
        </w:rPr>
        <w:t>ministériel</w:t>
      </w:r>
      <w:r w:rsidRPr="008F2A92">
        <w:rPr>
          <w:sz w:val="22"/>
          <w:szCs w:val="22"/>
        </w:rPr>
        <w:t>, après avis des PTF, sur la base des pièces justificatives décrites dans le manuel de procédures. Afin de faciliter la coordination de l’aide et les relations avec</w:t>
      </w:r>
      <w:r w:rsidR="00A854A3" w:rsidRPr="008F2A92">
        <w:rPr>
          <w:sz w:val="22"/>
          <w:szCs w:val="22"/>
        </w:rPr>
        <w:t xml:space="preserve"> le gouvernement, les PTF du FC</w:t>
      </w:r>
      <w:r w:rsidRPr="008F2A92">
        <w:rPr>
          <w:sz w:val="22"/>
          <w:szCs w:val="22"/>
        </w:rPr>
        <w:t xml:space="preserve">E désignent en leur sein un </w:t>
      </w:r>
      <w:r w:rsidR="00A854A3" w:rsidRPr="008F2A92">
        <w:rPr>
          <w:sz w:val="22"/>
          <w:szCs w:val="22"/>
        </w:rPr>
        <w:t xml:space="preserve">chef de file </w:t>
      </w:r>
      <w:r w:rsidRPr="008F2A92">
        <w:rPr>
          <w:sz w:val="22"/>
          <w:szCs w:val="22"/>
        </w:rPr>
        <w:t>auquel les autres partenaires du FCE délèguent les ANO.</w:t>
      </w:r>
    </w:p>
    <w:p w14:paraId="1C3A6B79" w14:textId="77777777" w:rsidR="00C203F9" w:rsidRPr="008F2A92" w:rsidRDefault="00C203F9" w:rsidP="008F2A92">
      <w:pPr>
        <w:spacing w:line="240" w:lineRule="auto"/>
        <w:jc w:val="both"/>
        <w:rPr>
          <w:sz w:val="22"/>
          <w:szCs w:val="22"/>
        </w:rPr>
      </w:pPr>
    </w:p>
    <w:p w14:paraId="0839C96B" w14:textId="7E1E7F15" w:rsidR="00C203F9" w:rsidRPr="008F2A92" w:rsidRDefault="00C203F9" w:rsidP="008F2A92">
      <w:pPr>
        <w:spacing w:line="240" w:lineRule="auto"/>
        <w:jc w:val="both"/>
        <w:rPr>
          <w:sz w:val="22"/>
          <w:szCs w:val="22"/>
        </w:rPr>
      </w:pPr>
      <w:r w:rsidRPr="008F2A92">
        <w:rPr>
          <w:sz w:val="22"/>
          <w:szCs w:val="22"/>
        </w:rPr>
        <w:t>i</w:t>
      </w:r>
      <w:r w:rsidR="00A854A3" w:rsidRPr="008F2A92">
        <w:rPr>
          <w:sz w:val="22"/>
          <w:szCs w:val="22"/>
        </w:rPr>
        <w:t>ii</w:t>
      </w:r>
      <w:r w:rsidRPr="008F2A92">
        <w:rPr>
          <w:sz w:val="22"/>
          <w:szCs w:val="22"/>
        </w:rPr>
        <w:t>) En matière de contrôle externe, des audi</w:t>
      </w:r>
      <w:r w:rsidR="00A854A3" w:rsidRPr="008F2A92">
        <w:rPr>
          <w:sz w:val="22"/>
          <w:szCs w:val="22"/>
        </w:rPr>
        <w:t>ts internes sont réalisés par la Direction de la Brigade d’Investigation Financière et des Audits</w:t>
      </w:r>
      <w:r w:rsidRPr="008F2A92">
        <w:rPr>
          <w:sz w:val="22"/>
          <w:szCs w:val="22"/>
        </w:rPr>
        <w:t xml:space="preserve"> </w:t>
      </w:r>
      <w:r w:rsidR="00A854A3" w:rsidRPr="008F2A92">
        <w:rPr>
          <w:sz w:val="22"/>
          <w:szCs w:val="22"/>
        </w:rPr>
        <w:t>et financés par le FC</w:t>
      </w:r>
      <w:r w:rsidRPr="008F2A92">
        <w:rPr>
          <w:sz w:val="22"/>
          <w:szCs w:val="22"/>
        </w:rPr>
        <w:t xml:space="preserve">E. </w:t>
      </w:r>
      <w:r w:rsidR="00A854A3" w:rsidRPr="008F2A92">
        <w:rPr>
          <w:sz w:val="22"/>
          <w:szCs w:val="22"/>
        </w:rPr>
        <w:t>D</w:t>
      </w:r>
      <w:r w:rsidRPr="008F2A92">
        <w:rPr>
          <w:sz w:val="22"/>
          <w:szCs w:val="22"/>
        </w:rPr>
        <w:t>es audits externes sont réalisés par un cabinet international indépendant financé par un des PTF-FCE.</w:t>
      </w:r>
    </w:p>
    <w:p w14:paraId="2BF0B3C9" w14:textId="77777777" w:rsidR="00C203F9" w:rsidRPr="008F2A92" w:rsidRDefault="00C203F9" w:rsidP="008F2A92">
      <w:pPr>
        <w:spacing w:line="240" w:lineRule="auto"/>
        <w:jc w:val="both"/>
        <w:rPr>
          <w:sz w:val="22"/>
          <w:szCs w:val="22"/>
        </w:rPr>
      </w:pPr>
    </w:p>
    <w:p w14:paraId="1B39328C" w14:textId="616F5099" w:rsidR="00C203F9" w:rsidRPr="008F2A92" w:rsidRDefault="00A854A3" w:rsidP="008F2A92">
      <w:pPr>
        <w:spacing w:line="240" w:lineRule="auto"/>
        <w:jc w:val="both"/>
        <w:rPr>
          <w:sz w:val="22"/>
          <w:szCs w:val="22"/>
        </w:rPr>
      </w:pPr>
      <w:r w:rsidRPr="008F2A92">
        <w:rPr>
          <w:sz w:val="22"/>
          <w:szCs w:val="22"/>
        </w:rPr>
        <w:t>i</w:t>
      </w:r>
      <w:r w:rsidR="00C203F9" w:rsidRPr="008F2A92">
        <w:rPr>
          <w:sz w:val="22"/>
          <w:szCs w:val="22"/>
        </w:rPr>
        <w:t xml:space="preserve">v) </w:t>
      </w:r>
      <w:r w:rsidR="00C203F9" w:rsidRPr="008F2A92">
        <w:rPr>
          <w:b/>
          <w:sz w:val="22"/>
          <w:szCs w:val="22"/>
        </w:rPr>
        <w:t xml:space="preserve">L’exécution des dépenses et des activités est préférentiellement opérée par les structures déconcentrées </w:t>
      </w:r>
      <w:r w:rsidRPr="008F2A92">
        <w:rPr>
          <w:sz w:val="22"/>
          <w:szCs w:val="22"/>
        </w:rPr>
        <w:t>(environ 80% des ressources annuelles</w:t>
      </w:r>
      <w:r w:rsidR="009375BE" w:rsidRPr="008F2A92">
        <w:rPr>
          <w:sz w:val="22"/>
          <w:szCs w:val="22"/>
        </w:rPr>
        <w:t>)</w:t>
      </w:r>
      <w:r w:rsidR="00C203F9" w:rsidRPr="008F2A92">
        <w:rPr>
          <w:sz w:val="22"/>
          <w:szCs w:val="22"/>
        </w:rPr>
        <w:t xml:space="preserve">. </w:t>
      </w:r>
      <w:r w:rsidR="009375BE" w:rsidRPr="008F2A92">
        <w:rPr>
          <w:sz w:val="22"/>
          <w:szCs w:val="22"/>
        </w:rPr>
        <w:t>L’avantage comparatif inégalable offert par le FCE est aujourd’hui la possibilité de financer tout le maillage territorial de l’éducation (services techniques déconcentrés et établissements de formation). C’est la 1ère fois que cette perspective est réelle sur les ressources externes.</w:t>
      </w:r>
    </w:p>
    <w:p w14:paraId="45A5863F" w14:textId="77777777" w:rsidR="009375BE" w:rsidRPr="008F2A92" w:rsidRDefault="009375BE" w:rsidP="008F2A92">
      <w:pPr>
        <w:spacing w:line="240" w:lineRule="auto"/>
        <w:jc w:val="both"/>
        <w:rPr>
          <w:sz w:val="22"/>
          <w:szCs w:val="22"/>
        </w:rPr>
      </w:pPr>
    </w:p>
    <w:p w14:paraId="7C54D5A2" w14:textId="17B92239" w:rsidR="00C203F9" w:rsidRPr="008F2A92" w:rsidRDefault="00C203F9" w:rsidP="008F2A92">
      <w:pPr>
        <w:spacing w:line="240" w:lineRule="auto"/>
        <w:jc w:val="both"/>
        <w:rPr>
          <w:sz w:val="22"/>
          <w:szCs w:val="22"/>
        </w:rPr>
      </w:pPr>
      <w:r w:rsidRPr="008F2A92">
        <w:rPr>
          <w:sz w:val="22"/>
          <w:szCs w:val="22"/>
        </w:rPr>
        <w:t xml:space="preserve">L’affectation des fonds aux différents sous-secteurs de </w:t>
      </w:r>
      <w:r w:rsidR="009375BE" w:rsidRPr="008F2A92">
        <w:rPr>
          <w:sz w:val="22"/>
          <w:szCs w:val="22"/>
        </w:rPr>
        <w:t>l’</w:t>
      </w:r>
      <w:r w:rsidRPr="008F2A92">
        <w:rPr>
          <w:sz w:val="22"/>
          <w:szCs w:val="22"/>
        </w:rPr>
        <w:t xml:space="preserve">éducation et de la formation fait l’objet d’une lettre de cadrage annuelle transmise parallèlement au cadrage du ministère des Finances. </w:t>
      </w:r>
    </w:p>
    <w:p w14:paraId="5D94B191" w14:textId="77777777" w:rsidR="00C203F9" w:rsidRPr="008F2A92" w:rsidRDefault="00C203F9" w:rsidP="008F2A92">
      <w:pPr>
        <w:spacing w:line="240" w:lineRule="auto"/>
        <w:jc w:val="both"/>
        <w:rPr>
          <w:sz w:val="22"/>
          <w:szCs w:val="22"/>
        </w:rPr>
      </w:pPr>
    </w:p>
    <w:p w14:paraId="2C6D027C" w14:textId="637C4AED" w:rsidR="00C203F9" w:rsidRPr="008F2A92" w:rsidRDefault="00C203F9" w:rsidP="008F2A92">
      <w:pPr>
        <w:spacing w:line="240" w:lineRule="auto"/>
        <w:jc w:val="both"/>
        <w:rPr>
          <w:sz w:val="22"/>
          <w:szCs w:val="22"/>
        </w:rPr>
      </w:pPr>
      <w:r w:rsidRPr="008F2A92">
        <w:rPr>
          <w:sz w:val="22"/>
          <w:szCs w:val="22"/>
        </w:rPr>
        <w:t>Pour favoriser un système de gestion basé sur la performance et favoriser la redevabilité, des contrats de performance/d’objectifs sont formalisés entre les organismes autonomes et leur ministère de tutelle. Ces contrats répondent au besoin de redevabilité et de gestion axée sur les résultats.</w:t>
      </w:r>
    </w:p>
    <w:p w14:paraId="6D051DB8" w14:textId="77777777" w:rsidR="00C203F9" w:rsidRPr="008F2A92" w:rsidRDefault="00C203F9" w:rsidP="008F2A92">
      <w:pPr>
        <w:spacing w:line="240" w:lineRule="auto"/>
        <w:jc w:val="both"/>
        <w:rPr>
          <w:sz w:val="22"/>
          <w:szCs w:val="22"/>
        </w:rPr>
      </w:pPr>
    </w:p>
    <w:p w14:paraId="78521167" w14:textId="3A3EF21D" w:rsidR="00C203F9" w:rsidRPr="008F2A92" w:rsidRDefault="00C203F9" w:rsidP="008F2A92">
      <w:pPr>
        <w:spacing w:line="240" w:lineRule="auto"/>
        <w:jc w:val="both"/>
        <w:rPr>
          <w:sz w:val="22"/>
          <w:szCs w:val="22"/>
        </w:rPr>
      </w:pPr>
      <w:r w:rsidRPr="008F2A92">
        <w:rPr>
          <w:sz w:val="22"/>
          <w:szCs w:val="22"/>
        </w:rPr>
        <w:t>Au regard de ces enjeux, une assistance technique importan</w:t>
      </w:r>
      <w:r w:rsidR="009375BE" w:rsidRPr="008F2A92">
        <w:rPr>
          <w:sz w:val="22"/>
          <w:szCs w:val="22"/>
        </w:rPr>
        <w:t>te est positionnée auprès du FC</w:t>
      </w:r>
      <w:r w:rsidRPr="008F2A92">
        <w:rPr>
          <w:sz w:val="22"/>
          <w:szCs w:val="22"/>
        </w:rPr>
        <w:t>E (et fi</w:t>
      </w:r>
      <w:r w:rsidR="009375BE" w:rsidRPr="008F2A92">
        <w:rPr>
          <w:sz w:val="22"/>
          <w:szCs w:val="22"/>
        </w:rPr>
        <w:t xml:space="preserve">nancée sur le FCE) sur </w:t>
      </w:r>
      <w:r w:rsidRPr="008F2A92">
        <w:rPr>
          <w:sz w:val="22"/>
          <w:szCs w:val="22"/>
        </w:rPr>
        <w:t xml:space="preserve">: </w:t>
      </w:r>
    </w:p>
    <w:p w14:paraId="7F729C78" w14:textId="77777777" w:rsidR="00C203F9" w:rsidRPr="008F2A92" w:rsidRDefault="00C203F9" w:rsidP="008F2A92">
      <w:pPr>
        <w:spacing w:line="240" w:lineRule="auto"/>
        <w:jc w:val="both"/>
        <w:rPr>
          <w:sz w:val="22"/>
          <w:szCs w:val="22"/>
        </w:rPr>
      </w:pPr>
    </w:p>
    <w:p w14:paraId="3FF4C3DB" w14:textId="02D62C7F" w:rsidR="00C203F9" w:rsidRPr="008F2A92" w:rsidRDefault="009375BE" w:rsidP="008F2A92">
      <w:pPr>
        <w:pStyle w:val="Paragraphedeliste"/>
        <w:numPr>
          <w:ilvl w:val="0"/>
          <w:numId w:val="18"/>
        </w:numPr>
        <w:spacing w:after="0" w:line="240" w:lineRule="auto"/>
        <w:jc w:val="both"/>
        <w:rPr>
          <w:rFonts w:ascii="Times New Roman" w:hAnsi="Times New Roman"/>
        </w:rPr>
      </w:pPr>
      <w:r w:rsidRPr="008F2A92">
        <w:rPr>
          <w:rFonts w:ascii="Times New Roman" w:hAnsi="Times New Roman"/>
        </w:rPr>
        <w:t xml:space="preserve">Différentes fonctions fiduciaires : </w:t>
      </w:r>
      <w:r w:rsidR="00C203F9" w:rsidRPr="008F2A92">
        <w:rPr>
          <w:rFonts w:ascii="Times New Roman" w:hAnsi="Times New Roman"/>
        </w:rPr>
        <w:t>g</w:t>
      </w:r>
      <w:r w:rsidRPr="008F2A92">
        <w:rPr>
          <w:rFonts w:ascii="Times New Roman" w:hAnsi="Times New Roman"/>
        </w:rPr>
        <w:t xml:space="preserve">estion financière et comptable, passation de marchés, planification, </w:t>
      </w:r>
      <w:r w:rsidR="00C203F9" w:rsidRPr="008F2A92">
        <w:rPr>
          <w:rFonts w:ascii="Times New Roman" w:hAnsi="Times New Roman"/>
        </w:rPr>
        <w:t>appui au suivi-évaluation ;</w:t>
      </w:r>
    </w:p>
    <w:p w14:paraId="2C0A6E05" w14:textId="6C9D2BC4" w:rsidR="00C203F9" w:rsidRPr="008F2A92" w:rsidRDefault="009375BE" w:rsidP="008F2A92">
      <w:pPr>
        <w:pStyle w:val="Paragraphedeliste"/>
        <w:numPr>
          <w:ilvl w:val="0"/>
          <w:numId w:val="18"/>
        </w:numPr>
        <w:spacing w:after="0" w:line="240" w:lineRule="auto"/>
        <w:ind w:left="1321" w:hanging="357"/>
        <w:jc w:val="both"/>
        <w:rPr>
          <w:rFonts w:ascii="Times New Roman" w:hAnsi="Times New Roman"/>
        </w:rPr>
      </w:pPr>
      <w:r w:rsidRPr="008F2A92">
        <w:rPr>
          <w:rFonts w:ascii="Times New Roman" w:hAnsi="Times New Roman"/>
        </w:rPr>
        <w:t>Et des expertises techniques sectorielles à la demande</w:t>
      </w:r>
      <w:r w:rsidR="00C203F9" w:rsidRPr="008F2A92">
        <w:rPr>
          <w:rFonts w:ascii="Times New Roman" w:hAnsi="Times New Roman"/>
        </w:rPr>
        <w:t xml:space="preserve">. </w:t>
      </w:r>
    </w:p>
    <w:p w14:paraId="272B77E8" w14:textId="77777777" w:rsidR="00C203F9" w:rsidRPr="008F2A92" w:rsidRDefault="00C203F9" w:rsidP="008F2A92">
      <w:pPr>
        <w:pStyle w:val="Paragraphedeliste"/>
        <w:spacing w:after="0" w:line="240" w:lineRule="auto"/>
        <w:ind w:left="1321"/>
        <w:jc w:val="both"/>
        <w:rPr>
          <w:rFonts w:ascii="Times New Roman" w:hAnsi="Times New Roman"/>
        </w:rPr>
      </w:pPr>
    </w:p>
    <w:p w14:paraId="49A3BAB3" w14:textId="26EF027B" w:rsidR="00C203F9" w:rsidRPr="008F2A92" w:rsidRDefault="009375BE" w:rsidP="008F2A92">
      <w:pPr>
        <w:pStyle w:val="Paragraphedeliste"/>
        <w:numPr>
          <w:ilvl w:val="0"/>
          <w:numId w:val="16"/>
        </w:numPr>
        <w:spacing w:after="0" w:line="240" w:lineRule="auto"/>
        <w:jc w:val="both"/>
        <w:rPr>
          <w:rFonts w:ascii="Times New Roman" w:hAnsi="Times New Roman"/>
          <w:b/>
          <w:u w:val="single"/>
        </w:rPr>
      </w:pPr>
      <w:r w:rsidRPr="008F2A92">
        <w:rPr>
          <w:rFonts w:ascii="Times New Roman" w:hAnsi="Times New Roman"/>
          <w:b/>
          <w:u w:val="single"/>
        </w:rPr>
        <w:t>Les effets de levier du FC</w:t>
      </w:r>
      <w:r w:rsidR="00C203F9" w:rsidRPr="008F2A92">
        <w:rPr>
          <w:rFonts w:ascii="Times New Roman" w:hAnsi="Times New Roman"/>
          <w:b/>
          <w:u w:val="single"/>
        </w:rPr>
        <w:t>E</w:t>
      </w:r>
    </w:p>
    <w:p w14:paraId="293E4071" w14:textId="77777777" w:rsidR="00C203F9" w:rsidRPr="008F2A92" w:rsidRDefault="00C203F9" w:rsidP="008F2A92">
      <w:pPr>
        <w:spacing w:line="240" w:lineRule="auto"/>
        <w:jc w:val="both"/>
        <w:rPr>
          <w:b/>
          <w:sz w:val="22"/>
          <w:szCs w:val="22"/>
        </w:rPr>
      </w:pPr>
    </w:p>
    <w:p w14:paraId="4A064B32" w14:textId="77777777" w:rsidR="00077524" w:rsidRPr="008F2A92" w:rsidRDefault="00077524" w:rsidP="008F2A92">
      <w:pPr>
        <w:autoSpaceDE w:val="0"/>
        <w:autoSpaceDN w:val="0"/>
        <w:adjustRightInd w:val="0"/>
        <w:spacing w:before="120" w:line="240" w:lineRule="auto"/>
        <w:ind w:right="-3"/>
        <w:jc w:val="both"/>
        <w:rPr>
          <w:rFonts w:eastAsia="Calibri"/>
          <w:color w:val="000000"/>
          <w:sz w:val="22"/>
          <w:szCs w:val="22"/>
          <w:lang w:eastAsia="en-US"/>
        </w:rPr>
      </w:pPr>
      <w:r w:rsidRPr="008F2A92">
        <w:rPr>
          <w:rFonts w:eastAsia="Calibri"/>
          <w:color w:val="000000"/>
          <w:sz w:val="22"/>
          <w:szCs w:val="22"/>
          <w:lang w:eastAsia="en-US"/>
        </w:rPr>
        <w:t xml:space="preserve">Le démarrage du FCE est effectif depuis le dernier trimestre 2022, mais a été retardé par différents ajustements des procédures, la prise de plusieurs textes réglementaires pour garantir les principes de traçabilité et de non fongibilité, et par le travail d’appropriation nécessaire auprès des acteurs. Malgré le </w:t>
      </w:r>
      <w:r w:rsidRPr="008F2A92">
        <w:rPr>
          <w:rFonts w:eastAsia="Calibri"/>
          <w:color w:val="000000"/>
          <w:sz w:val="22"/>
          <w:szCs w:val="22"/>
          <w:lang w:eastAsia="en-US"/>
        </w:rPr>
        <w:lastRenderedPageBreak/>
        <w:t>retard accusé, l’instrument a permis d’obtenir des résultats significatifs en termes de gestion des finances publiques (meilleur dialogue entre les ministères en charge de l’éducation et le ministère en charge des finances, adoption de procédures financières sécurisées pour les établissements publics autonomes, renforcement du réseau comptable public pour le paiement des caisses-écoles, …), des résultats probants dans le cycle de planification des activités et des résultats prometteurs dans l’absorption des fonds à travers une forte déconcentration du financement. Ainsi à ce jour, les résultats suivants ont été atteints :</w:t>
      </w:r>
    </w:p>
    <w:p w14:paraId="6E7FA78F" w14:textId="77777777" w:rsidR="00077524" w:rsidRPr="008F2A92" w:rsidRDefault="00077524" w:rsidP="008F2A92">
      <w:pPr>
        <w:numPr>
          <w:ilvl w:val="0"/>
          <w:numId w:val="34"/>
        </w:numPr>
        <w:spacing w:before="120" w:line="240" w:lineRule="auto"/>
        <w:jc w:val="both"/>
        <w:rPr>
          <w:rFonts w:eastAsia="Calibri"/>
          <w:sz w:val="22"/>
          <w:szCs w:val="22"/>
          <w:lang w:eastAsia="en-US"/>
        </w:rPr>
      </w:pPr>
      <w:r w:rsidRPr="008F2A92">
        <w:rPr>
          <w:rFonts w:eastAsia="Calibri"/>
          <w:sz w:val="22"/>
          <w:szCs w:val="22"/>
          <w:lang w:eastAsia="en-US"/>
        </w:rPr>
        <w:t>En l’espace de trois mois, 2,8M€ ont été engagés, 1,4M€ ont été décaissés et 85% des marchés prévus en 2022 ont été lancés, avec une perspective de décaissement intégral de la subvention du premier concours de l’AFD à la mi-2024 et à la fin 2023 pour l’assistance technique ;</w:t>
      </w:r>
    </w:p>
    <w:p w14:paraId="324C1675" w14:textId="77777777" w:rsidR="00077524" w:rsidRPr="008F2A92" w:rsidRDefault="00077524" w:rsidP="008F2A92">
      <w:pPr>
        <w:numPr>
          <w:ilvl w:val="0"/>
          <w:numId w:val="34"/>
        </w:numPr>
        <w:spacing w:before="120" w:line="240" w:lineRule="auto"/>
        <w:jc w:val="both"/>
        <w:rPr>
          <w:rFonts w:eastAsia="Calibri"/>
          <w:sz w:val="22"/>
          <w:szCs w:val="22"/>
          <w:lang w:eastAsia="en-US"/>
        </w:rPr>
      </w:pPr>
      <w:r w:rsidRPr="008F2A92">
        <w:rPr>
          <w:rFonts w:eastAsia="Calibri"/>
          <w:sz w:val="22"/>
          <w:szCs w:val="22"/>
          <w:lang w:eastAsia="en-US"/>
        </w:rPr>
        <w:t>le FCE finance toutes les Directions Régionales de l'Education Nationale (DREN), Directions Régionales de l'Enseignement technique et de la formation professionnelle (DREFTP), l’ensemble des circonscriptions scolaires (CISCO) et zones d’administration pédagogiques (ZAP) du territoire malgache ;</w:t>
      </w:r>
    </w:p>
    <w:p w14:paraId="2C064392" w14:textId="77777777" w:rsidR="00077524" w:rsidRPr="008F2A92" w:rsidRDefault="00077524" w:rsidP="008F2A92">
      <w:pPr>
        <w:numPr>
          <w:ilvl w:val="0"/>
          <w:numId w:val="34"/>
        </w:numPr>
        <w:spacing w:before="120" w:line="240" w:lineRule="auto"/>
        <w:jc w:val="both"/>
        <w:rPr>
          <w:rFonts w:eastAsia="Calibri"/>
          <w:sz w:val="22"/>
          <w:szCs w:val="22"/>
          <w:lang w:eastAsia="en-US"/>
        </w:rPr>
      </w:pPr>
      <w:r w:rsidRPr="008F2A92">
        <w:rPr>
          <w:rFonts w:eastAsia="Calibri"/>
          <w:sz w:val="22"/>
          <w:szCs w:val="22"/>
          <w:lang w:eastAsia="en-US"/>
        </w:rPr>
        <w:t>le FCE finance les caisses écoles et les établissements d'enseignement technique et de formation professionnelle sur tout le territoire ;</w:t>
      </w:r>
    </w:p>
    <w:p w14:paraId="075B134E" w14:textId="77777777" w:rsidR="00077524" w:rsidRPr="008F2A92" w:rsidRDefault="00077524" w:rsidP="008F2A92">
      <w:pPr>
        <w:numPr>
          <w:ilvl w:val="0"/>
          <w:numId w:val="34"/>
        </w:numPr>
        <w:spacing w:before="120" w:line="240" w:lineRule="auto"/>
        <w:jc w:val="both"/>
        <w:rPr>
          <w:rFonts w:eastAsia="Calibri"/>
          <w:sz w:val="22"/>
          <w:szCs w:val="22"/>
          <w:lang w:eastAsia="en-US"/>
        </w:rPr>
      </w:pPr>
      <w:r w:rsidRPr="008F2A92">
        <w:rPr>
          <w:rFonts w:eastAsia="Calibri"/>
          <w:sz w:val="22"/>
          <w:szCs w:val="22"/>
          <w:lang w:eastAsia="en-US"/>
        </w:rPr>
        <w:t>il finance l'Institut National de Formation pédagogique (INFP) et a permis la réforme de la gestion des 28 CRINFP qui peuvent aujourd'hui exécuter de manière régulière des financements intérieurs et extérieurs (déconcentration effective de l'INFP, création des régies auprès de chaque CRINFP et ouverture prochaine des comptes de dépôt) ;</w:t>
      </w:r>
    </w:p>
    <w:p w14:paraId="4C0053F4" w14:textId="1E6248B1" w:rsidR="00077524" w:rsidRPr="008F2A92" w:rsidRDefault="00077524" w:rsidP="008F2A92">
      <w:pPr>
        <w:numPr>
          <w:ilvl w:val="0"/>
          <w:numId w:val="34"/>
        </w:numPr>
        <w:spacing w:before="120" w:line="240" w:lineRule="auto"/>
        <w:jc w:val="both"/>
        <w:rPr>
          <w:rFonts w:eastAsia="Calibri"/>
          <w:sz w:val="22"/>
          <w:szCs w:val="22"/>
          <w:lang w:eastAsia="en-US"/>
        </w:rPr>
      </w:pPr>
      <w:r w:rsidRPr="008F2A92">
        <w:rPr>
          <w:rFonts w:eastAsia="Calibri"/>
          <w:sz w:val="22"/>
          <w:szCs w:val="22"/>
          <w:lang w:eastAsia="en-US"/>
        </w:rPr>
        <w:t>il s’appuie sur des partenariats solides avec la Direction de la Comptabilité Publique du MEF qui assure le suivi comptable et financier du FCE. Cette dynamique a permis la création du Groupe Technique Elargi des Finances Publiques (GTEFP) présidé par cette direction et composé par différents techniciens des 4 ministères concernés pour relayer l’appui aux différents acteurs budgétaires depuis la fin du premier cycle d’assistance technique.</w:t>
      </w:r>
    </w:p>
    <w:p w14:paraId="3551B587" w14:textId="77777777" w:rsidR="00077524" w:rsidRPr="008F2A92" w:rsidRDefault="00077524" w:rsidP="008F2A92">
      <w:pPr>
        <w:tabs>
          <w:tab w:val="left" w:pos="3413"/>
        </w:tabs>
        <w:spacing w:line="240" w:lineRule="auto"/>
        <w:jc w:val="both"/>
        <w:rPr>
          <w:rFonts w:eastAsia="Arial"/>
          <w:sz w:val="22"/>
          <w:szCs w:val="22"/>
        </w:rPr>
      </w:pPr>
    </w:p>
    <w:p w14:paraId="08F8D115" w14:textId="77777777" w:rsidR="009C155D" w:rsidRPr="008F2A92" w:rsidRDefault="009C155D" w:rsidP="008F2A92">
      <w:pPr>
        <w:spacing w:line="240" w:lineRule="auto"/>
        <w:jc w:val="both"/>
        <w:rPr>
          <w:sz w:val="22"/>
          <w:szCs w:val="22"/>
        </w:rPr>
      </w:pPr>
    </w:p>
    <w:p w14:paraId="4C79CC53" w14:textId="77777777" w:rsidR="009C155D" w:rsidRDefault="009C155D" w:rsidP="009C155D">
      <w:pPr>
        <w:spacing w:line="240" w:lineRule="auto"/>
        <w:ind w:left="567"/>
        <w:jc w:val="both"/>
        <w:rPr>
          <w:sz w:val="24"/>
        </w:rPr>
        <w:sectPr w:rsidR="009C155D" w:rsidSect="000F0589">
          <w:pgSz w:w="11900" w:h="16840"/>
          <w:pgMar w:top="1417" w:right="1417" w:bottom="1417" w:left="1134" w:header="708" w:footer="708" w:gutter="0"/>
          <w:cols w:space="720"/>
          <w:docGrid w:linePitch="272"/>
        </w:sectPr>
      </w:pPr>
    </w:p>
    <w:p w14:paraId="1215E13D" w14:textId="24011B44" w:rsidR="009C155D" w:rsidRPr="00F842A2" w:rsidRDefault="00F842A2" w:rsidP="009C155D">
      <w:pPr>
        <w:rPr>
          <w:b/>
          <w:sz w:val="24"/>
        </w:rPr>
      </w:pPr>
      <w:r w:rsidRPr="00F842A2">
        <w:rPr>
          <w:b/>
          <w:sz w:val="24"/>
          <w:u w:val="single"/>
        </w:rPr>
        <w:lastRenderedPageBreak/>
        <w:t xml:space="preserve">Annexe </w:t>
      </w:r>
      <w:r w:rsidR="003770A3">
        <w:rPr>
          <w:b/>
          <w:sz w:val="24"/>
          <w:u w:val="single"/>
        </w:rPr>
        <w:t>3</w:t>
      </w:r>
      <w:r w:rsidRPr="00F842A2">
        <w:rPr>
          <w:b/>
          <w:sz w:val="24"/>
          <w:u w:val="single"/>
        </w:rPr>
        <w:t> :</w:t>
      </w:r>
      <w:r w:rsidRPr="00F842A2">
        <w:rPr>
          <w:b/>
          <w:sz w:val="24"/>
        </w:rPr>
        <w:t xml:space="preserve"> Cadre logique du financement</w:t>
      </w:r>
      <w:r w:rsidR="00077524">
        <w:rPr>
          <w:b/>
          <w:sz w:val="24"/>
        </w:rPr>
        <w:t xml:space="preserve"> délégué de l’Union Européenne</w:t>
      </w:r>
    </w:p>
    <w:p w14:paraId="6C6E9DB3" w14:textId="6778290D" w:rsidR="00F842A2" w:rsidRPr="00EB468C" w:rsidRDefault="00F842A2" w:rsidP="009C155D">
      <w:pPr>
        <w:rPr>
          <w:sz w:val="24"/>
        </w:rPr>
      </w:pPr>
    </w:p>
    <w:p w14:paraId="44F49AA5" w14:textId="2DC8C47F" w:rsidR="00077524" w:rsidRPr="00EB468C" w:rsidRDefault="00077524" w:rsidP="00EB468C">
      <w:pPr>
        <w:ind w:hanging="2"/>
        <w:jc w:val="both"/>
        <w:rPr>
          <w:color w:val="ED7D31"/>
        </w:rPr>
      </w:pPr>
      <w:r w:rsidRPr="00EB468C">
        <w:rPr>
          <w:color w:val="0D0D0D"/>
          <w:sz w:val="22"/>
        </w:rPr>
        <w:t xml:space="preserve">Ce tableau ne représente pas le Cadre logique de l’ensemble du FCE dont le suivi </w:t>
      </w:r>
      <w:r w:rsidRPr="008655E2">
        <w:rPr>
          <w:color w:val="0D0D0D"/>
          <w:sz w:val="22"/>
          <w:szCs w:val="22"/>
        </w:rPr>
        <w:t>est</w:t>
      </w:r>
      <w:r w:rsidRPr="00EB468C">
        <w:rPr>
          <w:color w:val="0D0D0D"/>
          <w:sz w:val="22"/>
        </w:rPr>
        <w:t xml:space="preserve"> réalisé à l’intérieur du cadre de résultats sectoriels durant les revues sectorielles. Cette matrice est un extrait du Document d’Action ACT-61697 de l’UE qui précise à la Section 4.4.3. les produits auxquels devrait concourir </w:t>
      </w:r>
      <w:r w:rsidRPr="008655E2">
        <w:rPr>
          <w:color w:val="0D0D0D"/>
          <w:sz w:val="22"/>
          <w:szCs w:val="22"/>
        </w:rPr>
        <w:t>l’Action</w:t>
      </w:r>
      <w:r w:rsidRPr="00EB468C">
        <w:rPr>
          <w:color w:val="0D0D0D"/>
          <w:sz w:val="22"/>
        </w:rPr>
        <w:t>, notamment</w:t>
      </w:r>
      <w:r w:rsidRPr="008655E2">
        <w:rPr>
          <w:color w:val="0D0D0D"/>
          <w:sz w:val="22"/>
          <w:szCs w:val="22"/>
        </w:rPr>
        <w:t xml:space="preserve"> :</w:t>
      </w:r>
      <w:r w:rsidRPr="00EB468C">
        <w:rPr>
          <w:color w:val="0D0D0D"/>
          <w:sz w:val="22"/>
        </w:rPr>
        <w:t xml:space="preserve"> 2.1 « Les capacités et les ressources des acteurs de l’ETFP sont renforcées en matière d’approche genre et droits humains » et 2.2 « Les capacités et les ressources des acteurs de l’ETFP sont renforcées en matière de compétences techniques et andragogiques ». Les indicateurs sont ainsi ceux qui seront rapportés spécifiquement à l’Union </w:t>
      </w:r>
      <w:r w:rsidRPr="008655E2">
        <w:rPr>
          <w:color w:val="0D0D0D"/>
          <w:sz w:val="22"/>
          <w:szCs w:val="22"/>
        </w:rPr>
        <w:t>Européenne</w:t>
      </w:r>
      <w:r w:rsidRPr="00EB468C">
        <w:rPr>
          <w:color w:val="0D0D0D"/>
          <w:sz w:val="22"/>
        </w:rPr>
        <w:t>.</w:t>
      </w:r>
    </w:p>
    <w:p w14:paraId="76DD9643" w14:textId="77777777" w:rsidR="00077524" w:rsidRPr="00EB468C" w:rsidRDefault="00077524" w:rsidP="00EB468C">
      <w:pPr>
        <w:ind w:hanging="2"/>
        <w:rPr>
          <w:color w:val="ED7D31"/>
          <w:sz w:val="16"/>
        </w:rPr>
      </w:pPr>
    </w:p>
    <w:tbl>
      <w:tblPr>
        <w:tblW w:w="144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0"/>
        <w:gridCol w:w="1905"/>
        <w:gridCol w:w="3750"/>
        <w:gridCol w:w="1650"/>
        <w:gridCol w:w="1530"/>
        <w:gridCol w:w="1755"/>
        <w:gridCol w:w="2565"/>
      </w:tblGrid>
      <w:tr w:rsidR="00077524" w14:paraId="159EA778" w14:textId="77777777" w:rsidTr="00585F62">
        <w:trPr>
          <w:trHeight w:val="765"/>
          <w:tblHeader/>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BFBFBF"/>
            <w:tcMar>
              <w:top w:w="0" w:type="dxa"/>
              <w:left w:w="100" w:type="dxa"/>
              <w:bottom w:w="0" w:type="dxa"/>
              <w:right w:w="100" w:type="dxa"/>
            </w:tcMar>
          </w:tcPr>
          <w:p w14:paraId="2DDA7EE1" w14:textId="77777777" w:rsidR="00077524" w:rsidRPr="00EB468C" w:rsidRDefault="00077524" w:rsidP="00EB468C">
            <w:pPr>
              <w:spacing w:line="276" w:lineRule="auto"/>
              <w:ind w:hanging="2"/>
              <w:rPr>
                <w:b/>
                <w:color w:val="0D0D0D"/>
                <w:sz w:val="16"/>
              </w:rPr>
            </w:pPr>
            <w:r w:rsidRPr="00EB468C">
              <w:rPr>
                <w:b/>
                <w:color w:val="0D0D0D"/>
                <w:sz w:val="16"/>
              </w:rPr>
              <w:t xml:space="preserve"> Résultats</w:t>
            </w:r>
          </w:p>
        </w:tc>
        <w:tc>
          <w:tcPr>
            <w:tcW w:w="1905" w:type="dxa"/>
            <w:tcBorders>
              <w:top w:val="single" w:sz="8" w:space="0" w:color="000000"/>
              <w:bottom w:val="single" w:sz="8" w:space="0" w:color="000000"/>
              <w:right w:val="single" w:sz="8" w:space="0" w:color="000000"/>
            </w:tcBorders>
            <w:shd w:val="clear" w:color="auto" w:fill="BFBFBF"/>
            <w:tcMar>
              <w:top w:w="0" w:type="dxa"/>
              <w:left w:w="100" w:type="dxa"/>
              <w:bottom w:w="0" w:type="dxa"/>
              <w:right w:w="100" w:type="dxa"/>
            </w:tcMar>
          </w:tcPr>
          <w:p w14:paraId="32423F01" w14:textId="77777777" w:rsidR="00077524" w:rsidRPr="00EB468C" w:rsidRDefault="00077524" w:rsidP="00EB468C">
            <w:pPr>
              <w:spacing w:line="276" w:lineRule="auto"/>
              <w:ind w:hanging="2"/>
              <w:jc w:val="center"/>
              <w:rPr>
                <w:b/>
                <w:color w:val="0D0D0D"/>
                <w:sz w:val="16"/>
              </w:rPr>
            </w:pPr>
            <w:r w:rsidRPr="00EB468C">
              <w:rPr>
                <w:b/>
                <w:color w:val="0D0D0D"/>
                <w:sz w:val="16"/>
              </w:rPr>
              <w:t>Chaîne des résultats :</w:t>
            </w:r>
          </w:p>
          <w:p w14:paraId="3277C4DC" w14:textId="77777777" w:rsidR="00077524" w:rsidRPr="00EB468C" w:rsidRDefault="00077524" w:rsidP="00EB468C">
            <w:pPr>
              <w:spacing w:line="276" w:lineRule="auto"/>
              <w:ind w:hanging="2"/>
              <w:jc w:val="center"/>
              <w:rPr>
                <w:b/>
                <w:color w:val="0D0D0D"/>
                <w:sz w:val="16"/>
              </w:rPr>
            </w:pPr>
            <w:r w:rsidRPr="00EB468C">
              <w:rPr>
                <w:b/>
                <w:color w:val="0D0D0D"/>
                <w:sz w:val="16"/>
              </w:rPr>
              <w:t>Principaux résultats attendus (10 au maximum)</w:t>
            </w:r>
          </w:p>
        </w:tc>
        <w:tc>
          <w:tcPr>
            <w:tcW w:w="3750" w:type="dxa"/>
            <w:tcBorders>
              <w:top w:val="single" w:sz="8" w:space="0" w:color="000000"/>
              <w:bottom w:val="single" w:sz="8" w:space="0" w:color="000000"/>
              <w:right w:val="single" w:sz="8" w:space="0" w:color="000000"/>
            </w:tcBorders>
            <w:shd w:val="clear" w:color="auto" w:fill="BFBFBF"/>
            <w:tcMar>
              <w:top w:w="0" w:type="dxa"/>
              <w:left w:w="100" w:type="dxa"/>
              <w:bottom w:w="0" w:type="dxa"/>
              <w:right w:w="100" w:type="dxa"/>
            </w:tcMar>
          </w:tcPr>
          <w:p w14:paraId="37C7E7F1" w14:textId="77777777" w:rsidR="00077524" w:rsidRPr="00EB468C" w:rsidRDefault="00077524" w:rsidP="00EB468C">
            <w:pPr>
              <w:spacing w:line="276" w:lineRule="auto"/>
              <w:ind w:hanging="2"/>
              <w:jc w:val="center"/>
              <w:rPr>
                <w:color w:val="0D0D0D"/>
                <w:sz w:val="16"/>
              </w:rPr>
            </w:pPr>
            <w:r w:rsidRPr="00EB468C">
              <w:rPr>
                <w:b/>
                <w:color w:val="0D0D0D"/>
                <w:sz w:val="16"/>
              </w:rPr>
              <w:t xml:space="preserve">Indicateurs </w:t>
            </w:r>
            <w:r w:rsidRPr="00EB468C">
              <w:rPr>
                <w:color w:val="0D0D0D"/>
                <w:sz w:val="16"/>
              </w:rPr>
              <w:t>:</w:t>
            </w:r>
          </w:p>
          <w:p w14:paraId="0B19CEFD" w14:textId="77777777" w:rsidR="00077524" w:rsidRPr="00EB468C" w:rsidRDefault="00077524" w:rsidP="00EB468C">
            <w:pPr>
              <w:spacing w:line="276" w:lineRule="auto"/>
              <w:ind w:hanging="2"/>
              <w:jc w:val="center"/>
              <w:rPr>
                <w:b/>
                <w:color w:val="0D0D0D"/>
                <w:sz w:val="16"/>
              </w:rPr>
            </w:pPr>
            <w:r w:rsidRPr="00EB468C">
              <w:rPr>
                <w:b/>
                <w:color w:val="0D0D0D"/>
                <w:sz w:val="16"/>
              </w:rPr>
              <w:t>(au moins un indicateur par résultat attendu)</w:t>
            </w:r>
          </w:p>
        </w:tc>
        <w:tc>
          <w:tcPr>
            <w:tcW w:w="1650" w:type="dxa"/>
            <w:tcBorders>
              <w:top w:val="single" w:sz="8" w:space="0" w:color="000000"/>
              <w:bottom w:val="single" w:sz="8" w:space="0" w:color="000000"/>
              <w:right w:val="single" w:sz="8" w:space="0" w:color="000000"/>
            </w:tcBorders>
            <w:shd w:val="clear" w:color="auto" w:fill="BFBFBF"/>
            <w:tcMar>
              <w:top w:w="0" w:type="dxa"/>
              <w:left w:w="100" w:type="dxa"/>
              <w:bottom w:w="0" w:type="dxa"/>
              <w:right w:w="100" w:type="dxa"/>
            </w:tcMar>
          </w:tcPr>
          <w:p w14:paraId="7826697E" w14:textId="77777777" w:rsidR="00077524" w:rsidRPr="00EB468C" w:rsidRDefault="00077524" w:rsidP="00EB468C">
            <w:pPr>
              <w:spacing w:line="276" w:lineRule="auto"/>
              <w:ind w:hanging="2"/>
              <w:jc w:val="center"/>
              <w:rPr>
                <w:b/>
                <w:color w:val="0D0D0D"/>
                <w:sz w:val="16"/>
              </w:rPr>
            </w:pPr>
            <w:r w:rsidRPr="00EB468C">
              <w:rPr>
                <w:b/>
                <w:color w:val="0D0D0D"/>
                <w:sz w:val="16"/>
              </w:rPr>
              <w:t>Valeurs de référence</w:t>
            </w:r>
          </w:p>
          <w:p w14:paraId="74A9FFB4" w14:textId="77777777" w:rsidR="00077524" w:rsidRPr="00EB468C" w:rsidRDefault="00077524" w:rsidP="00EB468C">
            <w:pPr>
              <w:spacing w:line="276" w:lineRule="auto"/>
              <w:ind w:hanging="2"/>
              <w:jc w:val="center"/>
              <w:rPr>
                <w:b/>
                <w:color w:val="0D0D0D"/>
                <w:sz w:val="16"/>
              </w:rPr>
            </w:pPr>
            <w:r w:rsidRPr="00EB468C">
              <w:rPr>
                <w:b/>
                <w:color w:val="0D0D0D"/>
                <w:sz w:val="16"/>
              </w:rPr>
              <w:t>(valeurs et années)</w:t>
            </w:r>
          </w:p>
        </w:tc>
        <w:tc>
          <w:tcPr>
            <w:tcW w:w="1530" w:type="dxa"/>
            <w:tcBorders>
              <w:top w:val="single" w:sz="8" w:space="0" w:color="000000"/>
              <w:bottom w:val="single" w:sz="8" w:space="0" w:color="000000"/>
              <w:right w:val="single" w:sz="8" w:space="0" w:color="000000"/>
            </w:tcBorders>
            <w:shd w:val="clear" w:color="auto" w:fill="BFBFBF"/>
            <w:tcMar>
              <w:top w:w="0" w:type="dxa"/>
              <w:left w:w="100" w:type="dxa"/>
              <w:bottom w:w="0" w:type="dxa"/>
              <w:right w:w="100" w:type="dxa"/>
            </w:tcMar>
          </w:tcPr>
          <w:p w14:paraId="38C3A330" w14:textId="77777777" w:rsidR="00077524" w:rsidRPr="00EB468C" w:rsidRDefault="00077524" w:rsidP="00EB468C">
            <w:pPr>
              <w:spacing w:line="276" w:lineRule="auto"/>
              <w:ind w:hanging="2"/>
              <w:jc w:val="center"/>
              <w:rPr>
                <w:b/>
                <w:color w:val="0D0D0D"/>
                <w:sz w:val="16"/>
              </w:rPr>
            </w:pPr>
            <w:r w:rsidRPr="00EB468C">
              <w:rPr>
                <w:b/>
                <w:color w:val="0D0D0D"/>
                <w:sz w:val="16"/>
              </w:rPr>
              <w:t>Valeurs cibles</w:t>
            </w:r>
          </w:p>
          <w:p w14:paraId="44583996" w14:textId="77777777" w:rsidR="00077524" w:rsidRPr="00EB468C" w:rsidRDefault="00077524" w:rsidP="00EB468C">
            <w:pPr>
              <w:spacing w:line="276" w:lineRule="auto"/>
              <w:ind w:hanging="2"/>
              <w:jc w:val="center"/>
              <w:rPr>
                <w:b/>
                <w:color w:val="0D0D0D"/>
                <w:sz w:val="16"/>
              </w:rPr>
            </w:pPr>
            <w:r w:rsidRPr="00EB468C">
              <w:rPr>
                <w:b/>
                <w:color w:val="0D0D0D"/>
                <w:sz w:val="16"/>
              </w:rPr>
              <w:t>(valeurs et années)</w:t>
            </w:r>
          </w:p>
        </w:tc>
        <w:tc>
          <w:tcPr>
            <w:tcW w:w="1755" w:type="dxa"/>
            <w:tcBorders>
              <w:top w:val="single" w:sz="8" w:space="0" w:color="000000"/>
              <w:bottom w:val="single" w:sz="8" w:space="0" w:color="000000"/>
              <w:right w:val="single" w:sz="8" w:space="0" w:color="000000"/>
            </w:tcBorders>
            <w:shd w:val="clear" w:color="auto" w:fill="BFBFBF"/>
            <w:tcMar>
              <w:top w:w="0" w:type="dxa"/>
              <w:left w:w="100" w:type="dxa"/>
              <w:bottom w:w="0" w:type="dxa"/>
              <w:right w:w="100" w:type="dxa"/>
            </w:tcMar>
          </w:tcPr>
          <w:p w14:paraId="07A5FE78" w14:textId="77777777" w:rsidR="00077524" w:rsidRPr="00EB468C" w:rsidRDefault="00077524" w:rsidP="00EB468C">
            <w:pPr>
              <w:spacing w:line="276" w:lineRule="auto"/>
              <w:ind w:hanging="2"/>
              <w:jc w:val="center"/>
              <w:rPr>
                <w:b/>
                <w:color w:val="0D0D0D"/>
                <w:sz w:val="16"/>
              </w:rPr>
            </w:pPr>
            <w:r w:rsidRPr="00EB468C">
              <w:rPr>
                <w:b/>
                <w:color w:val="0D0D0D"/>
                <w:sz w:val="16"/>
              </w:rPr>
              <w:t>Sources de données</w:t>
            </w:r>
          </w:p>
        </w:tc>
        <w:tc>
          <w:tcPr>
            <w:tcW w:w="2565" w:type="dxa"/>
            <w:tcBorders>
              <w:top w:val="single" w:sz="8" w:space="0" w:color="000000"/>
              <w:bottom w:val="single" w:sz="8" w:space="0" w:color="000000"/>
              <w:right w:val="single" w:sz="8" w:space="0" w:color="000000"/>
            </w:tcBorders>
            <w:shd w:val="clear" w:color="auto" w:fill="BFBFBF"/>
            <w:tcMar>
              <w:top w:w="0" w:type="dxa"/>
              <w:left w:w="100" w:type="dxa"/>
              <w:bottom w:w="0" w:type="dxa"/>
              <w:right w:w="100" w:type="dxa"/>
            </w:tcMar>
          </w:tcPr>
          <w:p w14:paraId="0620064F" w14:textId="77777777" w:rsidR="00077524" w:rsidRPr="00EB468C" w:rsidRDefault="00077524" w:rsidP="00EB468C">
            <w:pPr>
              <w:spacing w:line="276" w:lineRule="auto"/>
              <w:ind w:hanging="2"/>
              <w:jc w:val="center"/>
              <w:rPr>
                <w:b/>
                <w:color w:val="0D0D0D"/>
                <w:sz w:val="16"/>
              </w:rPr>
            </w:pPr>
            <w:r w:rsidRPr="00EB468C">
              <w:rPr>
                <w:b/>
                <w:color w:val="0D0D0D"/>
                <w:sz w:val="16"/>
              </w:rPr>
              <w:t>Hypothèses</w:t>
            </w:r>
          </w:p>
        </w:tc>
      </w:tr>
      <w:tr w:rsidR="00077524" w:rsidRPr="008655E2" w14:paraId="60BBC38B" w14:textId="77777777" w:rsidTr="00585F62">
        <w:trPr>
          <w:trHeight w:val="1485"/>
          <w:jc w:val="center"/>
        </w:trPr>
        <w:tc>
          <w:tcPr>
            <w:tcW w:w="1320" w:type="dxa"/>
            <w:vMerge w:val="restart"/>
            <w:tcBorders>
              <w:left w:val="single" w:sz="8" w:space="0" w:color="000000"/>
              <w:bottom w:val="single" w:sz="8" w:space="0" w:color="000000"/>
              <w:right w:val="single" w:sz="8" w:space="0" w:color="000000"/>
            </w:tcBorders>
            <w:shd w:val="clear" w:color="auto" w:fill="BFBFBF"/>
            <w:tcMar>
              <w:top w:w="0" w:type="dxa"/>
              <w:left w:w="100" w:type="dxa"/>
              <w:bottom w:w="0" w:type="dxa"/>
              <w:right w:w="100" w:type="dxa"/>
            </w:tcMar>
          </w:tcPr>
          <w:p w14:paraId="028B64DD" w14:textId="77777777" w:rsidR="00077524" w:rsidRPr="00EB468C" w:rsidRDefault="00077524" w:rsidP="00EB468C">
            <w:pPr>
              <w:spacing w:line="276" w:lineRule="auto"/>
              <w:ind w:hanging="2"/>
              <w:rPr>
                <w:b/>
                <w:color w:val="0D0D0D"/>
                <w:sz w:val="16"/>
              </w:rPr>
            </w:pPr>
            <w:r w:rsidRPr="00EB468C">
              <w:rPr>
                <w:b/>
                <w:color w:val="0D0D0D"/>
                <w:sz w:val="16"/>
              </w:rPr>
              <w:t>Impact</w:t>
            </w:r>
          </w:p>
        </w:tc>
        <w:tc>
          <w:tcPr>
            <w:tcW w:w="1905" w:type="dxa"/>
            <w:vMerge w:val="restart"/>
            <w:tcBorders>
              <w:bottom w:val="single" w:sz="8" w:space="0" w:color="000000"/>
              <w:right w:val="single" w:sz="8" w:space="0" w:color="000000"/>
            </w:tcBorders>
            <w:tcMar>
              <w:top w:w="0" w:type="dxa"/>
              <w:left w:w="100" w:type="dxa"/>
              <w:bottom w:w="0" w:type="dxa"/>
              <w:right w:w="100" w:type="dxa"/>
            </w:tcMar>
          </w:tcPr>
          <w:p w14:paraId="38A92397" w14:textId="77777777" w:rsidR="00077524" w:rsidRPr="00EB468C" w:rsidRDefault="00077524" w:rsidP="00EB468C">
            <w:pPr>
              <w:spacing w:line="276" w:lineRule="auto"/>
              <w:ind w:hanging="2"/>
              <w:jc w:val="both"/>
              <w:rPr>
                <w:color w:val="0D0D0D"/>
                <w:sz w:val="16"/>
              </w:rPr>
            </w:pPr>
            <w:r w:rsidRPr="00EB468C">
              <w:rPr>
                <w:color w:val="0D0D0D"/>
                <w:sz w:val="16"/>
              </w:rPr>
              <w:t xml:space="preserve">Améliorer </w:t>
            </w:r>
            <w:r w:rsidRPr="00EB468C">
              <w:rPr>
                <w:b/>
                <w:color w:val="0D0D0D"/>
                <w:sz w:val="16"/>
              </w:rPr>
              <w:t>l’employabilité et l’autonomisation</w:t>
            </w:r>
            <w:r w:rsidRPr="00EB468C">
              <w:rPr>
                <w:color w:val="0D0D0D"/>
                <w:sz w:val="16"/>
              </w:rPr>
              <w:t xml:space="preserve"> des filles et des jeunes femmes à Madagascar</w:t>
            </w:r>
          </w:p>
          <w:p w14:paraId="4BC71F44" w14:textId="77777777" w:rsidR="00077524" w:rsidRPr="00EB468C" w:rsidRDefault="00077524" w:rsidP="00EB468C">
            <w:pPr>
              <w:spacing w:before="240" w:line="276" w:lineRule="auto"/>
              <w:ind w:hanging="2"/>
              <w:rPr>
                <w:b/>
                <w:color w:val="0D0D0D"/>
                <w:sz w:val="16"/>
              </w:rPr>
            </w:pPr>
            <w:r w:rsidRPr="00EB468C">
              <w:rPr>
                <w:b/>
                <w:color w:val="0D0D0D"/>
                <w:sz w:val="16"/>
              </w:rPr>
              <w:t xml:space="preserve"> </w:t>
            </w:r>
          </w:p>
        </w:tc>
        <w:tc>
          <w:tcPr>
            <w:tcW w:w="3750" w:type="dxa"/>
            <w:tcBorders>
              <w:bottom w:val="single" w:sz="8" w:space="0" w:color="000000"/>
              <w:right w:val="single" w:sz="8" w:space="0" w:color="000000"/>
            </w:tcBorders>
            <w:tcMar>
              <w:top w:w="0" w:type="dxa"/>
              <w:left w:w="100" w:type="dxa"/>
              <w:bottom w:w="0" w:type="dxa"/>
              <w:right w:w="100" w:type="dxa"/>
            </w:tcMar>
          </w:tcPr>
          <w:p w14:paraId="31074227" w14:textId="77777777" w:rsidR="00077524" w:rsidRPr="00EB468C" w:rsidRDefault="00077524" w:rsidP="00EB468C">
            <w:pPr>
              <w:spacing w:line="276" w:lineRule="auto"/>
              <w:ind w:hanging="2"/>
              <w:rPr>
                <w:color w:val="0D0D0D"/>
                <w:sz w:val="16"/>
              </w:rPr>
            </w:pPr>
            <w:r w:rsidRPr="00EB468C">
              <w:rPr>
                <w:color w:val="0D0D0D"/>
                <w:sz w:val="16"/>
              </w:rPr>
              <w:t>1.  Taux de chômage des 15-24 ans (ventilé par sexe) (SDG 8.5.2)</w:t>
            </w:r>
          </w:p>
        </w:tc>
        <w:tc>
          <w:tcPr>
            <w:tcW w:w="1650" w:type="dxa"/>
            <w:tcBorders>
              <w:bottom w:val="single" w:sz="8" w:space="0" w:color="000000"/>
              <w:right w:val="single" w:sz="8" w:space="0" w:color="000000"/>
            </w:tcBorders>
            <w:tcMar>
              <w:top w:w="0" w:type="dxa"/>
              <w:left w:w="100" w:type="dxa"/>
              <w:bottom w:w="0" w:type="dxa"/>
              <w:right w:w="100" w:type="dxa"/>
            </w:tcMar>
          </w:tcPr>
          <w:p w14:paraId="7E81B2D2" w14:textId="77777777" w:rsidR="00077524" w:rsidRPr="00EB468C" w:rsidRDefault="00077524" w:rsidP="00EB468C">
            <w:pPr>
              <w:spacing w:line="276" w:lineRule="auto"/>
              <w:ind w:hanging="2"/>
              <w:jc w:val="center"/>
              <w:rPr>
                <w:color w:val="0D0D0D"/>
                <w:sz w:val="16"/>
              </w:rPr>
            </w:pPr>
            <w:r w:rsidRPr="00EB468C">
              <w:rPr>
                <w:color w:val="0D0D0D"/>
                <w:sz w:val="16"/>
              </w:rPr>
              <w:t>2015 (date dernière enquête) : 3.4</w:t>
            </w:r>
          </w:p>
        </w:tc>
        <w:tc>
          <w:tcPr>
            <w:tcW w:w="1530" w:type="dxa"/>
            <w:tcBorders>
              <w:bottom w:val="single" w:sz="8" w:space="0" w:color="000000"/>
              <w:right w:val="single" w:sz="8" w:space="0" w:color="000000"/>
            </w:tcBorders>
            <w:tcMar>
              <w:top w:w="0" w:type="dxa"/>
              <w:left w:w="100" w:type="dxa"/>
              <w:bottom w:w="0" w:type="dxa"/>
              <w:right w:w="100" w:type="dxa"/>
            </w:tcMar>
          </w:tcPr>
          <w:p w14:paraId="50B62EA1" w14:textId="77777777" w:rsidR="00077524" w:rsidRPr="00EB468C" w:rsidRDefault="00077524" w:rsidP="00EB468C">
            <w:pPr>
              <w:spacing w:line="276" w:lineRule="auto"/>
              <w:ind w:hanging="2"/>
              <w:jc w:val="center"/>
              <w:rPr>
                <w:color w:val="0D0D0D"/>
                <w:sz w:val="16"/>
              </w:rPr>
            </w:pPr>
            <w:r w:rsidRPr="00EB468C">
              <w:rPr>
                <w:color w:val="0D0D0D"/>
                <w:sz w:val="16"/>
              </w:rPr>
              <w:t>A renseigner ultérieurement</w:t>
            </w:r>
          </w:p>
        </w:tc>
        <w:tc>
          <w:tcPr>
            <w:tcW w:w="1755" w:type="dxa"/>
            <w:tcBorders>
              <w:bottom w:val="single" w:sz="8" w:space="0" w:color="000000"/>
              <w:right w:val="single" w:sz="8" w:space="0" w:color="000000"/>
            </w:tcBorders>
            <w:tcMar>
              <w:top w:w="0" w:type="dxa"/>
              <w:left w:w="100" w:type="dxa"/>
              <w:bottom w:w="0" w:type="dxa"/>
              <w:right w:w="100" w:type="dxa"/>
            </w:tcMar>
          </w:tcPr>
          <w:p w14:paraId="7827B891" w14:textId="77777777" w:rsidR="00077524" w:rsidRPr="00EB468C" w:rsidRDefault="00077524" w:rsidP="00EB468C">
            <w:pPr>
              <w:spacing w:line="276" w:lineRule="auto"/>
              <w:ind w:hanging="2"/>
              <w:rPr>
                <w:color w:val="0D0D0D"/>
                <w:sz w:val="16"/>
              </w:rPr>
            </w:pPr>
            <w:r w:rsidRPr="00EB468C">
              <w:rPr>
                <w:color w:val="0D0D0D"/>
                <w:sz w:val="16"/>
              </w:rPr>
              <w:t xml:space="preserve">Base de données des ODD </w:t>
            </w:r>
            <w:r w:rsidRPr="00EB468C">
              <w:rPr>
                <w:color w:val="ED7D31"/>
                <w:sz w:val="16"/>
              </w:rPr>
              <w:t xml:space="preserve"> </w:t>
            </w:r>
            <w:hyperlink r:id="rId10" w:anchor="goal-8">
              <w:r w:rsidRPr="00EB468C">
                <w:rPr>
                  <w:color w:val="1155CC"/>
                  <w:sz w:val="16"/>
                  <w:u w:val="single"/>
                </w:rPr>
                <w:t>https://unstats.un.org/sdgs/dataportal/countryprofiles/MDG#goal-8</w:t>
              </w:r>
            </w:hyperlink>
          </w:p>
          <w:p w14:paraId="26E089F7" w14:textId="77777777" w:rsidR="00077524" w:rsidRPr="00EB468C" w:rsidRDefault="00077524" w:rsidP="00EB468C">
            <w:pPr>
              <w:spacing w:line="276" w:lineRule="auto"/>
              <w:ind w:hanging="2"/>
              <w:rPr>
                <w:color w:val="0D0D0D"/>
                <w:sz w:val="16"/>
              </w:rPr>
            </w:pPr>
            <w:r w:rsidRPr="00EB468C">
              <w:rPr>
                <w:color w:val="0D0D0D"/>
                <w:sz w:val="16"/>
              </w:rPr>
              <w:t>Statistiques du Ministère de l’emploi</w:t>
            </w:r>
          </w:p>
        </w:tc>
        <w:tc>
          <w:tcPr>
            <w:tcW w:w="2565" w:type="dxa"/>
            <w:vMerge w:val="restart"/>
            <w:tcBorders>
              <w:bottom w:val="single" w:sz="8" w:space="0" w:color="000000"/>
              <w:right w:val="single" w:sz="8" w:space="0" w:color="000000"/>
            </w:tcBorders>
            <w:shd w:val="clear" w:color="auto" w:fill="BFBFBF"/>
            <w:tcMar>
              <w:top w:w="0" w:type="dxa"/>
              <w:left w:w="100" w:type="dxa"/>
              <w:bottom w:w="0" w:type="dxa"/>
              <w:right w:w="100" w:type="dxa"/>
            </w:tcMar>
          </w:tcPr>
          <w:p w14:paraId="0F1982CE" w14:textId="77777777" w:rsidR="00077524" w:rsidRPr="00EB468C" w:rsidRDefault="00077524" w:rsidP="00EB468C">
            <w:pPr>
              <w:ind w:hanging="2"/>
              <w:rPr>
                <w:i/>
                <w:color w:val="0D0D0D"/>
                <w:sz w:val="16"/>
              </w:rPr>
            </w:pPr>
            <w:r w:rsidRPr="00EB468C">
              <w:rPr>
                <w:i/>
                <w:color w:val="0D0D0D"/>
                <w:sz w:val="16"/>
              </w:rPr>
              <w:t>La situation socio-économique s'est améliorée</w:t>
            </w:r>
          </w:p>
        </w:tc>
      </w:tr>
      <w:tr w:rsidR="00077524" w:rsidRPr="008655E2" w14:paraId="4DE4BC64" w14:textId="77777777" w:rsidTr="00585F62">
        <w:trPr>
          <w:trHeight w:val="1350"/>
          <w:jc w:val="center"/>
        </w:trPr>
        <w:tc>
          <w:tcPr>
            <w:tcW w:w="1320"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4999DE" w14:textId="77777777" w:rsidR="00077524" w:rsidRPr="00EB468C" w:rsidRDefault="00077524" w:rsidP="00EB468C">
            <w:pPr>
              <w:ind w:hanging="2"/>
              <w:rPr>
                <w:color w:val="ED7D31"/>
                <w:sz w:val="16"/>
              </w:rPr>
            </w:pPr>
          </w:p>
        </w:tc>
        <w:tc>
          <w:tcPr>
            <w:tcW w:w="190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8A0A27C" w14:textId="77777777" w:rsidR="00077524" w:rsidRPr="00EB468C" w:rsidRDefault="00077524" w:rsidP="00EB468C">
            <w:pPr>
              <w:ind w:hanging="2"/>
              <w:rPr>
                <w:color w:val="ED7D31"/>
                <w:sz w:val="16"/>
              </w:rPr>
            </w:pPr>
          </w:p>
        </w:tc>
        <w:tc>
          <w:tcPr>
            <w:tcW w:w="3750" w:type="dxa"/>
            <w:tcBorders>
              <w:bottom w:val="single" w:sz="8" w:space="0" w:color="000000"/>
              <w:right w:val="single" w:sz="8" w:space="0" w:color="000000"/>
            </w:tcBorders>
            <w:shd w:val="clear" w:color="auto" w:fill="auto"/>
            <w:tcMar>
              <w:top w:w="0" w:type="dxa"/>
              <w:left w:w="100" w:type="dxa"/>
              <w:bottom w:w="0" w:type="dxa"/>
              <w:right w:w="100" w:type="dxa"/>
            </w:tcMar>
          </w:tcPr>
          <w:p w14:paraId="15861171" w14:textId="77777777" w:rsidR="00077524" w:rsidRPr="00EB468C" w:rsidRDefault="00077524" w:rsidP="00EB468C">
            <w:pPr>
              <w:ind w:hanging="2"/>
              <w:rPr>
                <w:color w:val="0D0D0D"/>
                <w:sz w:val="16"/>
              </w:rPr>
            </w:pPr>
            <w:r w:rsidRPr="00EB468C">
              <w:rPr>
                <w:color w:val="0D0D0D"/>
                <w:sz w:val="16"/>
              </w:rPr>
              <w:t>2. Proportion de jeunes (âgés de 15 à 24 ans) ne suivant pas d'études, d'emploi ou de formation (SDG 8.6.1) (ventilé par sexe)</w:t>
            </w:r>
          </w:p>
        </w:tc>
        <w:tc>
          <w:tcPr>
            <w:tcW w:w="1650" w:type="dxa"/>
            <w:tcBorders>
              <w:bottom w:val="single" w:sz="8" w:space="0" w:color="000000"/>
              <w:right w:val="single" w:sz="8" w:space="0" w:color="000000"/>
            </w:tcBorders>
            <w:shd w:val="clear" w:color="auto" w:fill="auto"/>
            <w:tcMar>
              <w:top w:w="0" w:type="dxa"/>
              <w:left w:w="100" w:type="dxa"/>
              <w:bottom w:w="0" w:type="dxa"/>
              <w:right w:w="100" w:type="dxa"/>
            </w:tcMar>
          </w:tcPr>
          <w:p w14:paraId="5357DDD6" w14:textId="77777777" w:rsidR="00077524" w:rsidRPr="00EB468C" w:rsidRDefault="00077524" w:rsidP="00EB468C">
            <w:pPr>
              <w:spacing w:line="276" w:lineRule="auto"/>
              <w:ind w:hanging="2"/>
              <w:jc w:val="center"/>
              <w:rPr>
                <w:color w:val="0D0D0D"/>
                <w:sz w:val="16"/>
              </w:rPr>
            </w:pPr>
            <w:r w:rsidRPr="00EB468C">
              <w:rPr>
                <w:color w:val="0D0D0D"/>
                <w:sz w:val="16"/>
              </w:rPr>
              <w:t>2012 (date dernière enquête) :</w:t>
            </w:r>
          </w:p>
        </w:tc>
        <w:tc>
          <w:tcPr>
            <w:tcW w:w="1530" w:type="dxa"/>
            <w:tcBorders>
              <w:bottom w:val="single" w:sz="8" w:space="0" w:color="000000"/>
              <w:right w:val="single" w:sz="8" w:space="0" w:color="000000"/>
            </w:tcBorders>
            <w:shd w:val="clear" w:color="auto" w:fill="auto"/>
            <w:tcMar>
              <w:top w:w="0" w:type="dxa"/>
              <w:left w:w="100" w:type="dxa"/>
              <w:bottom w:w="0" w:type="dxa"/>
              <w:right w:w="100" w:type="dxa"/>
            </w:tcMar>
          </w:tcPr>
          <w:p w14:paraId="6CE64703" w14:textId="77777777" w:rsidR="00077524" w:rsidRPr="00EB468C" w:rsidRDefault="00077524" w:rsidP="00EB468C">
            <w:pPr>
              <w:spacing w:line="276" w:lineRule="auto"/>
              <w:ind w:hanging="2"/>
              <w:jc w:val="center"/>
              <w:rPr>
                <w:color w:val="0D0D0D"/>
                <w:sz w:val="16"/>
              </w:rPr>
            </w:pPr>
            <w:r w:rsidRPr="00EB468C">
              <w:rPr>
                <w:color w:val="0D0D0D"/>
                <w:sz w:val="16"/>
              </w:rPr>
              <w:t>A renseigner ultérieurement</w:t>
            </w:r>
          </w:p>
        </w:tc>
        <w:tc>
          <w:tcPr>
            <w:tcW w:w="1755" w:type="dxa"/>
            <w:tcBorders>
              <w:bottom w:val="single" w:sz="8" w:space="0" w:color="000000"/>
              <w:right w:val="single" w:sz="8" w:space="0" w:color="000000"/>
            </w:tcBorders>
            <w:shd w:val="clear" w:color="auto" w:fill="auto"/>
            <w:tcMar>
              <w:top w:w="0" w:type="dxa"/>
              <w:left w:w="100" w:type="dxa"/>
              <w:bottom w:w="0" w:type="dxa"/>
              <w:right w:w="100" w:type="dxa"/>
            </w:tcMar>
          </w:tcPr>
          <w:p w14:paraId="593F29FC" w14:textId="0A2709D7" w:rsidR="00077524" w:rsidRPr="00EB468C" w:rsidRDefault="00077524" w:rsidP="00EB468C">
            <w:pPr>
              <w:spacing w:line="276" w:lineRule="auto"/>
              <w:ind w:hanging="2"/>
              <w:rPr>
                <w:color w:val="0D0D0D"/>
                <w:sz w:val="16"/>
              </w:rPr>
            </w:pPr>
            <w:r w:rsidRPr="00EB468C">
              <w:rPr>
                <w:color w:val="0D0D0D"/>
                <w:sz w:val="16"/>
              </w:rPr>
              <w:t>Base de données des ODD</w:t>
            </w:r>
            <w:hyperlink r:id="rId11">
              <w:r w:rsidRPr="00EB468C">
                <w:rPr>
                  <w:color w:val="0D0D0D"/>
                  <w:sz w:val="16"/>
                </w:rPr>
                <w:t xml:space="preserve"> </w:t>
              </w:r>
            </w:hyperlink>
            <w:hyperlink r:id="rId12">
              <w:r w:rsidRPr="00EB468C">
                <w:rPr>
                  <w:color w:val="1155CC"/>
                  <w:sz w:val="16"/>
                  <w:u w:val="single"/>
                </w:rPr>
                <w:t>https://unstats.un.org/sdgs/indicators/database/</w:t>
              </w:r>
            </w:hyperlink>
            <w:r w:rsidRPr="00EB468C">
              <w:rPr>
                <w:color w:val="0D0D0D"/>
                <w:sz w:val="16"/>
              </w:rPr>
              <w:t>Statistiques du Ministère de l’emploi</w:t>
            </w:r>
          </w:p>
        </w:tc>
        <w:tc>
          <w:tcPr>
            <w:tcW w:w="256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673A97F7" w14:textId="77777777" w:rsidR="00077524" w:rsidRPr="00EB468C" w:rsidRDefault="00077524" w:rsidP="00EB468C">
            <w:pPr>
              <w:ind w:hanging="2"/>
              <w:rPr>
                <w:color w:val="ED7D31"/>
                <w:sz w:val="16"/>
              </w:rPr>
            </w:pPr>
          </w:p>
        </w:tc>
      </w:tr>
      <w:tr w:rsidR="00077524" w:rsidRPr="008655E2" w14:paraId="2E960FC6" w14:textId="77777777" w:rsidTr="00585F62">
        <w:trPr>
          <w:trHeight w:val="1436"/>
          <w:jc w:val="center"/>
        </w:trPr>
        <w:tc>
          <w:tcPr>
            <w:tcW w:w="1320" w:type="dxa"/>
            <w:vMerge w:val="restart"/>
            <w:tcBorders>
              <w:left w:val="single" w:sz="8" w:space="0" w:color="000000"/>
              <w:bottom w:val="single" w:sz="8" w:space="0" w:color="000000"/>
              <w:right w:val="single" w:sz="8" w:space="0" w:color="000000"/>
            </w:tcBorders>
            <w:shd w:val="clear" w:color="auto" w:fill="D9D9D9"/>
            <w:tcMar>
              <w:top w:w="0" w:type="dxa"/>
              <w:left w:w="100" w:type="dxa"/>
              <w:bottom w:w="0" w:type="dxa"/>
              <w:right w:w="100" w:type="dxa"/>
            </w:tcMar>
          </w:tcPr>
          <w:p w14:paraId="5B1C241D" w14:textId="77777777" w:rsidR="00077524" w:rsidRPr="00EB468C" w:rsidRDefault="00077524" w:rsidP="00EB468C">
            <w:pPr>
              <w:spacing w:line="276" w:lineRule="auto"/>
              <w:ind w:hanging="2"/>
              <w:rPr>
                <w:b/>
                <w:color w:val="0D0D0D"/>
                <w:sz w:val="16"/>
              </w:rPr>
            </w:pPr>
            <w:r w:rsidRPr="00EB468C">
              <w:rPr>
                <w:b/>
                <w:color w:val="0D0D0D"/>
                <w:sz w:val="16"/>
              </w:rPr>
              <w:t>Réalisation 2</w:t>
            </w:r>
          </w:p>
        </w:tc>
        <w:tc>
          <w:tcPr>
            <w:tcW w:w="1905" w:type="dxa"/>
            <w:vMerge w:val="restart"/>
            <w:tcBorders>
              <w:bottom w:val="single" w:sz="8" w:space="0" w:color="000000"/>
              <w:right w:val="single" w:sz="8" w:space="0" w:color="000000"/>
            </w:tcBorders>
            <w:shd w:val="clear" w:color="auto" w:fill="auto"/>
            <w:tcMar>
              <w:top w:w="0" w:type="dxa"/>
              <w:left w:w="100" w:type="dxa"/>
              <w:bottom w:w="0" w:type="dxa"/>
              <w:right w:w="100" w:type="dxa"/>
            </w:tcMar>
          </w:tcPr>
          <w:p w14:paraId="61A259EE" w14:textId="50DF38A2" w:rsidR="00077524" w:rsidRPr="00EB468C" w:rsidRDefault="00077524" w:rsidP="00EB468C">
            <w:pPr>
              <w:spacing w:line="276" w:lineRule="auto"/>
              <w:ind w:hanging="2"/>
              <w:rPr>
                <w:color w:val="0D0D0D"/>
                <w:sz w:val="16"/>
              </w:rPr>
            </w:pPr>
            <w:r w:rsidRPr="00EB468C">
              <w:rPr>
                <w:color w:val="0D0D0D"/>
                <w:sz w:val="16"/>
              </w:rPr>
              <w:t xml:space="preserve">2. Renforcer la </w:t>
            </w:r>
            <w:r w:rsidRPr="00EB468C">
              <w:rPr>
                <w:b/>
                <w:color w:val="0D0D0D"/>
                <w:sz w:val="16"/>
              </w:rPr>
              <w:t>qualité</w:t>
            </w:r>
            <w:r w:rsidRPr="00EB468C">
              <w:rPr>
                <w:color w:val="0D0D0D"/>
                <w:sz w:val="16"/>
              </w:rPr>
              <w:t xml:space="preserve"> du système formation professionnelle et </w:t>
            </w:r>
            <w:r w:rsidRPr="008655E2">
              <w:rPr>
                <w:color w:val="0D0D0D"/>
                <w:sz w:val="16"/>
                <w:szCs w:val="16"/>
              </w:rPr>
              <w:t>d’Enseignement Technique</w:t>
            </w:r>
            <w:r w:rsidRPr="00EB468C">
              <w:rPr>
                <w:color w:val="0D0D0D"/>
                <w:sz w:val="16"/>
              </w:rPr>
              <w:t>, axée sur les besoins du marché du travail et la perspective de genre.</w:t>
            </w:r>
          </w:p>
        </w:tc>
        <w:tc>
          <w:tcPr>
            <w:tcW w:w="3750" w:type="dxa"/>
            <w:tcBorders>
              <w:bottom w:val="single" w:sz="8" w:space="0" w:color="000000"/>
              <w:right w:val="single" w:sz="8" w:space="0" w:color="000000"/>
            </w:tcBorders>
            <w:shd w:val="clear" w:color="auto" w:fill="auto"/>
            <w:tcMar>
              <w:top w:w="0" w:type="dxa"/>
              <w:left w:w="100" w:type="dxa"/>
              <w:bottom w:w="0" w:type="dxa"/>
              <w:right w:w="100" w:type="dxa"/>
            </w:tcMar>
          </w:tcPr>
          <w:p w14:paraId="2C60E0CB" w14:textId="77777777" w:rsidR="00077524" w:rsidRPr="00EB468C" w:rsidRDefault="00077524" w:rsidP="00EB468C">
            <w:pPr>
              <w:spacing w:line="276" w:lineRule="auto"/>
              <w:ind w:hanging="2"/>
              <w:rPr>
                <w:i/>
                <w:color w:val="0D0D0D"/>
                <w:sz w:val="16"/>
              </w:rPr>
            </w:pPr>
            <w:r w:rsidRPr="00EB468C">
              <w:rPr>
                <w:color w:val="0D0D0D"/>
                <w:sz w:val="16"/>
              </w:rPr>
              <w:t xml:space="preserve">2.1  Nombre d’établissements dont le curricula intègre les sujets ciblés par le programme  (tels que éducation à la sexualité, droits des femmes, violences fondées sur le genre,  compétences numériques, andragogie, formation à l’entreprenariat) </w:t>
            </w:r>
            <w:r w:rsidRPr="00EB468C">
              <w:rPr>
                <w:i/>
                <w:color w:val="0D0D0D"/>
                <w:sz w:val="16"/>
              </w:rPr>
              <w:t>(par région, par filière et par sujet)</w:t>
            </w:r>
          </w:p>
        </w:tc>
        <w:tc>
          <w:tcPr>
            <w:tcW w:w="1650" w:type="dxa"/>
            <w:tcBorders>
              <w:bottom w:val="single" w:sz="8" w:space="0" w:color="000000"/>
              <w:right w:val="single" w:sz="8" w:space="0" w:color="000000"/>
            </w:tcBorders>
            <w:shd w:val="clear" w:color="auto" w:fill="auto"/>
            <w:tcMar>
              <w:top w:w="0" w:type="dxa"/>
              <w:left w:w="100" w:type="dxa"/>
              <w:bottom w:w="0" w:type="dxa"/>
              <w:right w:w="100" w:type="dxa"/>
            </w:tcMar>
          </w:tcPr>
          <w:p w14:paraId="1B9CA3B7" w14:textId="77777777" w:rsidR="00077524" w:rsidRPr="00EB468C" w:rsidRDefault="00077524" w:rsidP="00EB468C">
            <w:pPr>
              <w:spacing w:line="276" w:lineRule="auto"/>
              <w:ind w:hanging="2"/>
              <w:jc w:val="center"/>
              <w:rPr>
                <w:color w:val="0D0D0D"/>
                <w:sz w:val="16"/>
              </w:rPr>
            </w:pPr>
            <w:r w:rsidRPr="00EB468C">
              <w:rPr>
                <w:color w:val="0D0D0D"/>
                <w:sz w:val="16"/>
              </w:rPr>
              <w:t>A déterminer  pendant la phase de  démarrage</w:t>
            </w:r>
          </w:p>
        </w:tc>
        <w:tc>
          <w:tcPr>
            <w:tcW w:w="1530" w:type="dxa"/>
            <w:tcBorders>
              <w:bottom w:val="single" w:sz="8" w:space="0" w:color="000000"/>
              <w:right w:val="single" w:sz="8" w:space="0" w:color="000000"/>
            </w:tcBorders>
            <w:shd w:val="clear" w:color="auto" w:fill="auto"/>
            <w:tcMar>
              <w:top w:w="0" w:type="dxa"/>
              <w:left w:w="100" w:type="dxa"/>
              <w:bottom w:w="0" w:type="dxa"/>
              <w:right w:w="100" w:type="dxa"/>
            </w:tcMar>
          </w:tcPr>
          <w:p w14:paraId="63416065" w14:textId="77777777" w:rsidR="00077524" w:rsidRPr="00EB468C" w:rsidRDefault="00077524" w:rsidP="00EB468C">
            <w:pPr>
              <w:spacing w:line="276" w:lineRule="auto"/>
              <w:ind w:hanging="2"/>
              <w:jc w:val="center"/>
              <w:rPr>
                <w:color w:val="0D0D0D"/>
                <w:sz w:val="16"/>
              </w:rPr>
            </w:pPr>
            <w:r w:rsidRPr="00EB468C">
              <w:rPr>
                <w:color w:val="0D0D0D"/>
                <w:sz w:val="16"/>
              </w:rPr>
              <w:t>A renseigner ultérieurement</w:t>
            </w:r>
          </w:p>
        </w:tc>
        <w:tc>
          <w:tcPr>
            <w:tcW w:w="1755" w:type="dxa"/>
            <w:tcBorders>
              <w:bottom w:val="single" w:sz="8" w:space="0" w:color="000000"/>
              <w:right w:val="single" w:sz="8" w:space="0" w:color="000000"/>
            </w:tcBorders>
            <w:shd w:val="clear" w:color="auto" w:fill="auto"/>
            <w:tcMar>
              <w:top w:w="0" w:type="dxa"/>
              <w:left w:w="100" w:type="dxa"/>
              <w:bottom w:w="0" w:type="dxa"/>
              <w:right w:w="100" w:type="dxa"/>
            </w:tcMar>
          </w:tcPr>
          <w:p w14:paraId="5E1BF661" w14:textId="77777777" w:rsidR="00077524" w:rsidRPr="00EB468C" w:rsidRDefault="00077524" w:rsidP="00EB468C">
            <w:pPr>
              <w:spacing w:line="276" w:lineRule="auto"/>
              <w:ind w:hanging="2"/>
              <w:rPr>
                <w:color w:val="0D0D0D"/>
                <w:sz w:val="16"/>
              </w:rPr>
            </w:pPr>
            <w:r w:rsidRPr="00EB468C">
              <w:rPr>
                <w:color w:val="0D0D0D"/>
                <w:sz w:val="16"/>
              </w:rPr>
              <w:t>Rapport de monitoring externe de l’Action</w:t>
            </w:r>
          </w:p>
          <w:p w14:paraId="71C7D275" w14:textId="77777777" w:rsidR="00077524" w:rsidRPr="00EB468C" w:rsidRDefault="00077524" w:rsidP="00EB468C">
            <w:pPr>
              <w:spacing w:before="240" w:line="276" w:lineRule="auto"/>
              <w:ind w:hanging="2"/>
              <w:rPr>
                <w:color w:val="0D0D0D"/>
                <w:sz w:val="16"/>
              </w:rPr>
            </w:pPr>
            <w:r w:rsidRPr="00EB468C">
              <w:rPr>
                <w:color w:val="0D0D0D"/>
                <w:sz w:val="16"/>
              </w:rPr>
              <w:t xml:space="preserve"> </w:t>
            </w:r>
          </w:p>
        </w:tc>
        <w:tc>
          <w:tcPr>
            <w:tcW w:w="2565" w:type="dxa"/>
            <w:vMerge w:val="restart"/>
            <w:tcBorders>
              <w:bottom w:val="single" w:sz="8" w:space="0" w:color="000000"/>
              <w:right w:val="single" w:sz="8" w:space="0" w:color="000000"/>
            </w:tcBorders>
            <w:shd w:val="clear" w:color="auto" w:fill="auto"/>
            <w:tcMar>
              <w:top w:w="0" w:type="dxa"/>
              <w:left w:w="100" w:type="dxa"/>
              <w:bottom w:w="0" w:type="dxa"/>
              <w:right w:w="100" w:type="dxa"/>
            </w:tcMar>
          </w:tcPr>
          <w:p w14:paraId="19E1CFF0" w14:textId="77777777" w:rsidR="00077524" w:rsidRPr="00EB468C" w:rsidRDefault="00077524" w:rsidP="00EB468C">
            <w:pPr>
              <w:spacing w:after="240"/>
              <w:ind w:hanging="2"/>
              <w:rPr>
                <w:i/>
                <w:color w:val="0D0D0D"/>
                <w:sz w:val="16"/>
              </w:rPr>
            </w:pPr>
            <w:r w:rsidRPr="00EB468C">
              <w:rPr>
                <w:i/>
                <w:color w:val="0D0D0D"/>
                <w:sz w:val="16"/>
              </w:rPr>
              <w:t>- Les dirigeants et collaborateurs des institutions publiques de formation professionnelle (METFP, DRETFP, CFP) et des CFP privés se montrent ouverts à intégrer des changements dans leur manière de fonctionner</w:t>
            </w:r>
          </w:p>
          <w:p w14:paraId="06F2E05D" w14:textId="77777777" w:rsidR="00077524" w:rsidRPr="00EB468C" w:rsidRDefault="00077524" w:rsidP="00EB468C">
            <w:pPr>
              <w:spacing w:after="240"/>
              <w:ind w:hanging="2"/>
              <w:rPr>
                <w:i/>
                <w:color w:val="0D0D0D"/>
                <w:sz w:val="16"/>
              </w:rPr>
            </w:pPr>
            <w:r w:rsidRPr="00EB468C">
              <w:rPr>
                <w:i/>
                <w:color w:val="0D0D0D"/>
                <w:sz w:val="16"/>
              </w:rPr>
              <w:t xml:space="preserve">- Le personnel des CFP est relativement stable (faible </w:t>
            </w:r>
            <w:proofErr w:type="spellStart"/>
            <w:r w:rsidRPr="00EB468C">
              <w:rPr>
                <w:i/>
                <w:color w:val="0D0D0D"/>
                <w:sz w:val="16"/>
              </w:rPr>
              <w:t>turn</w:t>
            </w:r>
            <w:proofErr w:type="spellEnd"/>
            <w:r w:rsidRPr="00EB468C">
              <w:rPr>
                <w:i/>
                <w:color w:val="0D0D0D"/>
                <w:sz w:val="16"/>
              </w:rPr>
              <w:t xml:space="preserve"> over)</w:t>
            </w:r>
          </w:p>
        </w:tc>
      </w:tr>
      <w:tr w:rsidR="00077524" w:rsidRPr="008655E2" w14:paraId="77A0E247" w14:textId="77777777" w:rsidTr="00585F62">
        <w:trPr>
          <w:trHeight w:val="1254"/>
          <w:jc w:val="center"/>
        </w:trPr>
        <w:tc>
          <w:tcPr>
            <w:tcW w:w="1320"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E7FD6A" w14:textId="77777777" w:rsidR="00077524" w:rsidRPr="00EB468C" w:rsidRDefault="00077524" w:rsidP="00EB468C">
            <w:pPr>
              <w:ind w:hanging="2"/>
              <w:rPr>
                <w:color w:val="ED7D31"/>
                <w:sz w:val="16"/>
              </w:rPr>
            </w:pPr>
          </w:p>
        </w:tc>
        <w:tc>
          <w:tcPr>
            <w:tcW w:w="190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57F1A738" w14:textId="77777777" w:rsidR="00077524" w:rsidRPr="00EB468C" w:rsidRDefault="00077524" w:rsidP="00EB468C">
            <w:pPr>
              <w:ind w:hanging="2"/>
              <w:rPr>
                <w:color w:val="ED7D31"/>
                <w:sz w:val="16"/>
              </w:rPr>
            </w:pPr>
          </w:p>
        </w:tc>
        <w:tc>
          <w:tcPr>
            <w:tcW w:w="3750" w:type="dxa"/>
            <w:tcBorders>
              <w:bottom w:val="single" w:sz="8" w:space="0" w:color="000000"/>
              <w:right w:val="single" w:sz="8" w:space="0" w:color="000000"/>
            </w:tcBorders>
            <w:shd w:val="clear" w:color="auto" w:fill="auto"/>
            <w:tcMar>
              <w:top w:w="0" w:type="dxa"/>
              <w:left w:w="100" w:type="dxa"/>
              <w:bottom w:w="0" w:type="dxa"/>
              <w:right w:w="100" w:type="dxa"/>
            </w:tcMar>
          </w:tcPr>
          <w:p w14:paraId="6CA8F5C5" w14:textId="77777777" w:rsidR="00077524" w:rsidRPr="00EB468C" w:rsidRDefault="00077524" w:rsidP="00EB468C">
            <w:pPr>
              <w:spacing w:line="276" w:lineRule="auto"/>
              <w:ind w:hanging="2"/>
              <w:rPr>
                <w:color w:val="0D0D0D"/>
                <w:sz w:val="16"/>
              </w:rPr>
            </w:pPr>
            <w:r w:rsidRPr="00EB468C">
              <w:rPr>
                <w:color w:val="0D0D0D"/>
                <w:sz w:val="16"/>
              </w:rPr>
              <w:t xml:space="preserve">2.2  Pourcentage de bénéficiaires dont les performances/compétences techniques en tant qu'apprentis sont jugées satisfaisantes par leur employeur, ventilé par sexe, âge, handicap et secteur économique </w:t>
            </w:r>
            <w:r w:rsidRPr="00EB468C">
              <w:rPr>
                <w:i/>
                <w:color w:val="0D0D0D"/>
                <w:sz w:val="16"/>
              </w:rPr>
              <w:t>(</w:t>
            </w:r>
            <w:r w:rsidRPr="00EB468C">
              <w:rPr>
                <w:color w:val="0D0D0D"/>
                <w:sz w:val="16"/>
              </w:rPr>
              <w:t>ventilé</w:t>
            </w:r>
            <w:r w:rsidRPr="00EB468C">
              <w:rPr>
                <w:i/>
                <w:color w:val="0D0D0D"/>
                <w:sz w:val="16"/>
              </w:rPr>
              <w:t xml:space="preserve"> par âge, par région, par filière)</w:t>
            </w:r>
            <w:r w:rsidRPr="00EB468C">
              <w:rPr>
                <w:color w:val="0D0D0D"/>
                <w:sz w:val="16"/>
              </w:rPr>
              <w:t xml:space="preserve"> (indicateur clé OPSYS)</w:t>
            </w:r>
          </w:p>
        </w:tc>
        <w:tc>
          <w:tcPr>
            <w:tcW w:w="1650" w:type="dxa"/>
            <w:tcBorders>
              <w:bottom w:val="single" w:sz="8" w:space="0" w:color="000000"/>
              <w:right w:val="single" w:sz="8" w:space="0" w:color="000000"/>
            </w:tcBorders>
            <w:shd w:val="clear" w:color="auto" w:fill="auto"/>
            <w:tcMar>
              <w:top w:w="0" w:type="dxa"/>
              <w:left w:w="100" w:type="dxa"/>
              <w:bottom w:w="0" w:type="dxa"/>
              <w:right w:w="100" w:type="dxa"/>
            </w:tcMar>
          </w:tcPr>
          <w:p w14:paraId="28E96C05" w14:textId="77777777" w:rsidR="00077524" w:rsidRPr="00EB468C" w:rsidRDefault="00077524" w:rsidP="00EB468C">
            <w:pPr>
              <w:spacing w:line="276" w:lineRule="auto"/>
              <w:ind w:hanging="2"/>
              <w:jc w:val="center"/>
              <w:rPr>
                <w:color w:val="0D0D0D"/>
                <w:sz w:val="16"/>
              </w:rPr>
            </w:pPr>
            <w:r w:rsidRPr="00EB468C">
              <w:rPr>
                <w:color w:val="0D0D0D"/>
                <w:sz w:val="16"/>
              </w:rPr>
              <w:t>A déterminer  pendant la phase de  démarrage</w:t>
            </w:r>
          </w:p>
        </w:tc>
        <w:tc>
          <w:tcPr>
            <w:tcW w:w="1530" w:type="dxa"/>
            <w:tcBorders>
              <w:bottom w:val="single" w:sz="8" w:space="0" w:color="000000"/>
              <w:right w:val="single" w:sz="8" w:space="0" w:color="000000"/>
            </w:tcBorders>
            <w:shd w:val="clear" w:color="auto" w:fill="auto"/>
            <w:tcMar>
              <w:top w:w="0" w:type="dxa"/>
              <w:left w:w="100" w:type="dxa"/>
              <w:bottom w:w="0" w:type="dxa"/>
              <w:right w:w="100" w:type="dxa"/>
            </w:tcMar>
          </w:tcPr>
          <w:p w14:paraId="1DE1D38F" w14:textId="77777777" w:rsidR="00077524" w:rsidRPr="00EB468C" w:rsidRDefault="00077524" w:rsidP="00EB468C">
            <w:pPr>
              <w:spacing w:line="276" w:lineRule="auto"/>
              <w:ind w:hanging="2"/>
              <w:jc w:val="center"/>
              <w:rPr>
                <w:color w:val="0D0D0D"/>
                <w:sz w:val="16"/>
              </w:rPr>
            </w:pPr>
            <w:r w:rsidRPr="00EB468C">
              <w:rPr>
                <w:color w:val="0D0D0D"/>
                <w:sz w:val="16"/>
              </w:rPr>
              <w:t>A renseigner ultérieurement</w:t>
            </w:r>
          </w:p>
        </w:tc>
        <w:tc>
          <w:tcPr>
            <w:tcW w:w="1755" w:type="dxa"/>
            <w:tcBorders>
              <w:bottom w:val="single" w:sz="8" w:space="0" w:color="000000"/>
              <w:right w:val="single" w:sz="8" w:space="0" w:color="000000"/>
            </w:tcBorders>
            <w:shd w:val="clear" w:color="auto" w:fill="auto"/>
            <w:tcMar>
              <w:top w:w="0" w:type="dxa"/>
              <w:left w:w="100" w:type="dxa"/>
              <w:bottom w:w="0" w:type="dxa"/>
              <w:right w:w="100" w:type="dxa"/>
            </w:tcMar>
          </w:tcPr>
          <w:p w14:paraId="7B7DE352" w14:textId="77777777" w:rsidR="00077524" w:rsidRPr="00EB468C" w:rsidRDefault="00077524" w:rsidP="00EB468C">
            <w:pPr>
              <w:spacing w:line="276" w:lineRule="auto"/>
              <w:ind w:hanging="2"/>
              <w:rPr>
                <w:color w:val="0D0D0D"/>
                <w:sz w:val="16"/>
              </w:rPr>
            </w:pPr>
            <w:r w:rsidRPr="00EB468C">
              <w:rPr>
                <w:color w:val="0D0D0D"/>
                <w:sz w:val="16"/>
              </w:rPr>
              <w:t>Evaluation des participants à la fin de la formation</w:t>
            </w:r>
          </w:p>
        </w:tc>
        <w:tc>
          <w:tcPr>
            <w:tcW w:w="256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2786C0D8" w14:textId="77777777" w:rsidR="00077524" w:rsidRPr="00EB468C" w:rsidRDefault="00077524" w:rsidP="00EB468C">
            <w:pPr>
              <w:ind w:hanging="2"/>
              <w:rPr>
                <w:color w:val="ED7D31"/>
                <w:sz w:val="16"/>
              </w:rPr>
            </w:pPr>
          </w:p>
        </w:tc>
      </w:tr>
      <w:tr w:rsidR="00077524" w:rsidRPr="008655E2" w14:paraId="29C47498" w14:textId="77777777" w:rsidTr="00585F62">
        <w:trPr>
          <w:trHeight w:val="90"/>
          <w:jc w:val="center"/>
        </w:trPr>
        <w:tc>
          <w:tcPr>
            <w:tcW w:w="1320" w:type="dxa"/>
            <w:vMerge w:val="restart"/>
            <w:tcBorders>
              <w:left w:val="single" w:sz="8" w:space="0" w:color="000000"/>
              <w:bottom w:val="single" w:sz="8" w:space="0" w:color="000000"/>
              <w:right w:val="single" w:sz="8" w:space="0" w:color="000000"/>
            </w:tcBorders>
            <w:shd w:val="clear" w:color="auto" w:fill="D9D9D9"/>
            <w:tcMar>
              <w:top w:w="0" w:type="dxa"/>
              <w:left w:w="100" w:type="dxa"/>
              <w:bottom w:w="0" w:type="dxa"/>
              <w:right w:w="100" w:type="dxa"/>
            </w:tcMar>
          </w:tcPr>
          <w:p w14:paraId="7215A664" w14:textId="77777777" w:rsidR="00077524" w:rsidRPr="00EB468C" w:rsidRDefault="00077524" w:rsidP="00EB468C">
            <w:pPr>
              <w:spacing w:line="276" w:lineRule="auto"/>
              <w:ind w:hanging="2"/>
              <w:rPr>
                <w:b/>
                <w:color w:val="0D0D0D"/>
                <w:sz w:val="16"/>
              </w:rPr>
            </w:pPr>
            <w:r w:rsidRPr="00EB468C">
              <w:rPr>
                <w:b/>
                <w:color w:val="0D0D0D"/>
                <w:sz w:val="16"/>
              </w:rPr>
              <w:lastRenderedPageBreak/>
              <w:t>Produit 1 lié à la réalisation 2</w:t>
            </w:r>
          </w:p>
          <w:p w14:paraId="439D3A0C" w14:textId="77777777" w:rsidR="00077524" w:rsidRPr="00EB468C" w:rsidRDefault="00077524" w:rsidP="00EB468C">
            <w:pPr>
              <w:spacing w:before="240" w:line="276" w:lineRule="auto"/>
              <w:ind w:hanging="2"/>
              <w:rPr>
                <w:b/>
                <w:color w:val="0D0D0D"/>
                <w:sz w:val="16"/>
              </w:rPr>
            </w:pPr>
            <w:r w:rsidRPr="00EB468C">
              <w:rPr>
                <w:b/>
                <w:color w:val="0D0D0D"/>
                <w:sz w:val="16"/>
              </w:rPr>
              <w:t xml:space="preserve"> </w:t>
            </w:r>
          </w:p>
        </w:tc>
        <w:tc>
          <w:tcPr>
            <w:tcW w:w="1905" w:type="dxa"/>
            <w:vMerge w:val="restart"/>
            <w:tcBorders>
              <w:bottom w:val="single" w:sz="8" w:space="0" w:color="000000"/>
              <w:right w:val="single" w:sz="8" w:space="0" w:color="000000"/>
            </w:tcBorders>
            <w:shd w:val="clear" w:color="auto" w:fill="auto"/>
            <w:tcMar>
              <w:top w:w="0" w:type="dxa"/>
              <w:left w:w="100" w:type="dxa"/>
              <w:bottom w:w="0" w:type="dxa"/>
              <w:right w:w="100" w:type="dxa"/>
            </w:tcMar>
          </w:tcPr>
          <w:p w14:paraId="01C8B19C" w14:textId="77777777" w:rsidR="00077524" w:rsidRPr="00EB468C" w:rsidRDefault="00077524" w:rsidP="00EB468C">
            <w:pPr>
              <w:spacing w:line="276" w:lineRule="auto"/>
              <w:ind w:hanging="2"/>
              <w:rPr>
                <w:b/>
                <w:color w:val="0D0D0D"/>
                <w:sz w:val="16"/>
              </w:rPr>
            </w:pPr>
            <w:r w:rsidRPr="00EB468C">
              <w:rPr>
                <w:color w:val="0D0D0D"/>
                <w:sz w:val="16"/>
              </w:rPr>
              <w:t xml:space="preserve">2.1 Les capacités et les ressources des acteurs de l’ETFP sont renforcées en matière </w:t>
            </w:r>
            <w:r w:rsidRPr="00EB468C">
              <w:rPr>
                <w:b/>
                <w:color w:val="0D0D0D"/>
                <w:sz w:val="16"/>
              </w:rPr>
              <w:t>d’approche genre et droits humains.</w:t>
            </w:r>
          </w:p>
          <w:p w14:paraId="0B525995" w14:textId="77777777" w:rsidR="00077524" w:rsidRPr="00EB468C" w:rsidRDefault="00077524" w:rsidP="00EB468C">
            <w:pPr>
              <w:spacing w:before="240" w:line="276" w:lineRule="auto"/>
              <w:ind w:hanging="2"/>
              <w:rPr>
                <w:color w:val="0D0D0D"/>
                <w:sz w:val="16"/>
              </w:rPr>
            </w:pPr>
            <w:r w:rsidRPr="00EB468C">
              <w:rPr>
                <w:color w:val="0D0D0D"/>
                <w:sz w:val="16"/>
              </w:rPr>
              <w:t xml:space="preserve"> </w:t>
            </w:r>
          </w:p>
        </w:tc>
        <w:tc>
          <w:tcPr>
            <w:tcW w:w="3750" w:type="dxa"/>
            <w:tcBorders>
              <w:bottom w:val="single" w:sz="8" w:space="0" w:color="000000"/>
              <w:right w:val="single" w:sz="8" w:space="0" w:color="000000"/>
            </w:tcBorders>
            <w:shd w:val="clear" w:color="auto" w:fill="auto"/>
            <w:tcMar>
              <w:top w:w="0" w:type="dxa"/>
              <w:left w:w="100" w:type="dxa"/>
              <w:bottom w:w="0" w:type="dxa"/>
              <w:right w:w="100" w:type="dxa"/>
            </w:tcMar>
          </w:tcPr>
          <w:p w14:paraId="71436D8A" w14:textId="77777777" w:rsidR="00077524" w:rsidRPr="00EB468C" w:rsidRDefault="00077524" w:rsidP="00EB468C">
            <w:pPr>
              <w:spacing w:line="276" w:lineRule="auto"/>
              <w:ind w:hanging="2"/>
              <w:rPr>
                <w:i/>
                <w:color w:val="0D0D0D"/>
                <w:sz w:val="16"/>
              </w:rPr>
            </w:pPr>
            <w:r w:rsidRPr="00EB468C">
              <w:rPr>
                <w:color w:val="0D0D0D"/>
                <w:sz w:val="16"/>
              </w:rPr>
              <w:t>2.1.1 Pourcentage d’établissements de l’EFTP ciblés disposant d’un point focal genre actif  avec le soutien de l’UE  (</w:t>
            </w:r>
            <w:r w:rsidRPr="00EB468C">
              <w:rPr>
                <w:i/>
                <w:color w:val="0D0D0D"/>
                <w:sz w:val="16"/>
              </w:rPr>
              <w:t>ventilé</w:t>
            </w:r>
            <w:r w:rsidRPr="00EB468C">
              <w:rPr>
                <w:color w:val="0D0D0D"/>
                <w:sz w:val="16"/>
              </w:rPr>
              <w:t xml:space="preserve"> </w:t>
            </w:r>
            <w:r w:rsidRPr="00EB468C">
              <w:rPr>
                <w:i/>
                <w:color w:val="0D0D0D"/>
                <w:sz w:val="16"/>
              </w:rPr>
              <w:t>par type d’organisation, région, filière)</w:t>
            </w:r>
          </w:p>
        </w:tc>
        <w:tc>
          <w:tcPr>
            <w:tcW w:w="1650" w:type="dxa"/>
            <w:tcBorders>
              <w:bottom w:val="single" w:sz="8" w:space="0" w:color="000000"/>
              <w:right w:val="single" w:sz="8" w:space="0" w:color="000000"/>
            </w:tcBorders>
            <w:shd w:val="clear" w:color="auto" w:fill="auto"/>
            <w:tcMar>
              <w:top w:w="0" w:type="dxa"/>
              <w:left w:w="100" w:type="dxa"/>
              <w:bottom w:w="0" w:type="dxa"/>
              <w:right w:w="100" w:type="dxa"/>
            </w:tcMar>
          </w:tcPr>
          <w:p w14:paraId="42CE31BF" w14:textId="77777777" w:rsidR="00077524" w:rsidRPr="00EB468C" w:rsidRDefault="00077524" w:rsidP="00EB468C">
            <w:pPr>
              <w:spacing w:line="276" w:lineRule="auto"/>
              <w:ind w:hanging="2"/>
              <w:jc w:val="center"/>
              <w:rPr>
                <w:color w:val="0D0D0D"/>
                <w:sz w:val="16"/>
              </w:rPr>
            </w:pPr>
            <w:r w:rsidRPr="00EB468C">
              <w:rPr>
                <w:color w:val="0D0D0D"/>
                <w:sz w:val="16"/>
              </w:rPr>
              <w:t>0</w:t>
            </w:r>
          </w:p>
        </w:tc>
        <w:tc>
          <w:tcPr>
            <w:tcW w:w="1530" w:type="dxa"/>
            <w:tcBorders>
              <w:bottom w:val="single" w:sz="8" w:space="0" w:color="000000"/>
              <w:right w:val="single" w:sz="8" w:space="0" w:color="000000"/>
            </w:tcBorders>
            <w:shd w:val="clear" w:color="auto" w:fill="auto"/>
            <w:tcMar>
              <w:top w:w="0" w:type="dxa"/>
              <w:left w:w="100" w:type="dxa"/>
              <w:bottom w:w="0" w:type="dxa"/>
              <w:right w:w="100" w:type="dxa"/>
            </w:tcMar>
          </w:tcPr>
          <w:p w14:paraId="7B574938" w14:textId="77777777" w:rsidR="00077524" w:rsidRPr="00EB468C" w:rsidRDefault="00077524" w:rsidP="00EB468C">
            <w:pPr>
              <w:spacing w:line="276" w:lineRule="auto"/>
              <w:ind w:hanging="2"/>
              <w:jc w:val="center"/>
              <w:rPr>
                <w:color w:val="0D0D0D"/>
                <w:sz w:val="16"/>
              </w:rPr>
            </w:pPr>
            <w:r w:rsidRPr="00EB468C">
              <w:rPr>
                <w:color w:val="0D0D0D"/>
                <w:sz w:val="16"/>
              </w:rPr>
              <w:t>90 %</w:t>
            </w:r>
          </w:p>
        </w:tc>
        <w:tc>
          <w:tcPr>
            <w:tcW w:w="1755" w:type="dxa"/>
            <w:tcBorders>
              <w:bottom w:val="single" w:sz="8" w:space="0" w:color="000000"/>
              <w:right w:val="single" w:sz="8" w:space="0" w:color="000000"/>
            </w:tcBorders>
            <w:shd w:val="clear" w:color="auto" w:fill="auto"/>
            <w:tcMar>
              <w:top w:w="0" w:type="dxa"/>
              <w:left w:w="100" w:type="dxa"/>
              <w:bottom w:w="0" w:type="dxa"/>
              <w:right w:w="100" w:type="dxa"/>
            </w:tcMar>
          </w:tcPr>
          <w:p w14:paraId="5EA0EB91" w14:textId="77777777" w:rsidR="00077524" w:rsidRPr="00EB468C" w:rsidRDefault="00077524" w:rsidP="00EB468C">
            <w:pPr>
              <w:spacing w:line="276" w:lineRule="auto"/>
              <w:ind w:hanging="2"/>
              <w:rPr>
                <w:sz w:val="16"/>
              </w:rPr>
            </w:pPr>
            <w:r w:rsidRPr="00EB468C">
              <w:rPr>
                <w:sz w:val="16"/>
              </w:rPr>
              <w:t>Rapports d'avancement de l'intervention financée par l'UE</w:t>
            </w:r>
          </w:p>
        </w:tc>
        <w:tc>
          <w:tcPr>
            <w:tcW w:w="2565" w:type="dxa"/>
            <w:vMerge w:val="restart"/>
            <w:tcBorders>
              <w:bottom w:val="single" w:sz="8" w:space="0" w:color="000000"/>
              <w:right w:val="single" w:sz="8" w:space="0" w:color="000000"/>
            </w:tcBorders>
            <w:shd w:val="clear" w:color="auto" w:fill="auto"/>
            <w:tcMar>
              <w:top w:w="0" w:type="dxa"/>
              <w:left w:w="100" w:type="dxa"/>
              <w:bottom w:w="0" w:type="dxa"/>
              <w:right w:w="100" w:type="dxa"/>
            </w:tcMar>
          </w:tcPr>
          <w:p w14:paraId="5E7A0E30" w14:textId="77777777" w:rsidR="00077524" w:rsidRPr="00EB468C" w:rsidRDefault="00077524" w:rsidP="00EB468C">
            <w:pPr>
              <w:spacing w:line="276" w:lineRule="auto"/>
              <w:ind w:hanging="2"/>
              <w:rPr>
                <w:i/>
                <w:sz w:val="16"/>
              </w:rPr>
            </w:pPr>
            <w:r w:rsidRPr="00EB468C">
              <w:rPr>
                <w:i/>
                <w:sz w:val="16"/>
              </w:rPr>
              <w:t>- Le personnel du METFP, des DRETFP, de de l'ENSET et des CFP est stable</w:t>
            </w:r>
          </w:p>
          <w:p w14:paraId="0B7F3297" w14:textId="77777777" w:rsidR="00077524" w:rsidRPr="00EB468C" w:rsidRDefault="00077524" w:rsidP="00EB468C">
            <w:pPr>
              <w:spacing w:before="240" w:line="276" w:lineRule="auto"/>
              <w:ind w:hanging="2"/>
              <w:rPr>
                <w:i/>
                <w:color w:val="0D0D0D"/>
                <w:sz w:val="16"/>
              </w:rPr>
            </w:pPr>
            <w:r w:rsidRPr="00EB468C">
              <w:rPr>
                <w:i/>
                <w:color w:val="0D0D0D"/>
                <w:sz w:val="16"/>
              </w:rPr>
              <w:t>- La volonté du METFP de renforcer le genre demeure prioritaire tout au long de l’intervention, et se traduit en actes au niveau national, régional et local</w:t>
            </w:r>
          </w:p>
        </w:tc>
      </w:tr>
      <w:tr w:rsidR="00077524" w:rsidRPr="008655E2" w14:paraId="1DF06689" w14:textId="77777777" w:rsidTr="00585F62">
        <w:trPr>
          <w:jc w:val="center"/>
        </w:trPr>
        <w:tc>
          <w:tcPr>
            <w:tcW w:w="1320"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B9A55C" w14:textId="77777777" w:rsidR="00077524" w:rsidRPr="00EB468C" w:rsidRDefault="00077524" w:rsidP="00EB468C">
            <w:pPr>
              <w:ind w:hanging="2"/>
              <w:rPr>
                <w:color w:val="ED7D31"/>
                <w:sz w:val="16"/>
              </w:rPr>
            </w:pPr>
          </w:p>
        </w:tc>
        <w:tc>
          <w:tcPr>
            <w:tcW w:w="190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1D09B8D4" w14:textId="77777777" w:rsidR="00077524" w:rsidRPr="00EB468C" w:rsidRDefault="00077524" w:rsidP="00EB468C">
            <w:pPr>
              <w:ind w:hanging="2"/>
              <w:rPr>
                <w:color w:val="ED7D31"/>
                <w:sz w:val="16"/>
              </w:rPr>
            </w:pPr>
          </w:p>
        </w:tc>
        <w:tc>
          <w:tcPr>
            <w:tcW w:w="3750" w:type="dxa"/>
            <w:tcBorders>
              <w:bottom w:val="single" w:sz="8" w:space="0" w:color="000000"/>
              <w:right w:val="single" w:sz="8" w:space="0" w:color="000000"/>
            </w:tcBorders>
            <w:shd w:val="clear" w:color="auto" w:fill="auto"/>
            <w:tcMar>
              <w:top w:w="0" w:type="dxa"/>
              <w:left w:w="100" w:type="dxa"/>
              <w:bottom w:w="0" w:type="dxa"/>
              <w:right w:w="100" w:type="dxa"/>
            </w:tcMar>
          </w:tcPr>
          <w:p w14:paraId="190460FA" w14:textId="77777777" w:rsidR="00077524" w:rsidRPr="00EB468C" w:rsidRDefault="00077524" w:rsidP="00EB468C">
            <w:pPr>
              <w:spacing w:line="276" w:lineRule="auto"/>
              <w:ind w:hanging="2"/>
              <w:rPr>
                <w:i/>
                <w:color w:val="0D0D0D"/>
                <w:sz w:val="16"/>
              </w:rPr>
            </w:pPr>
            <w:r w:rsidRPr="00EB468C">
              <w:rPr>
                <w:color w:val="0D0D0D"/>
                <w:sz w:val="16"/>
              </w:rPr>
              <w:t xml:space="preserve">2.1.2 Nombre de personnel d’établissements de l’EFTP et points focaux </w:t>
            </w:r>
            <w:r w:rsidRPr="00EB468C">
              <w:rPr>
                <w:color w:val="ED7D31"/>
                <w:sz w:val="16"/>
              </w:rPr>
              <w:t xml:space="preserve"> </w:t>
            </w:r>
            <w:r w:rsidRPr="00EB468C">
              <w:rPr>
                <w:color w:val="0D0D0D"/>
                <w:sz w:val="16"/>
              </w:rPr>
              <w:t>formés par l'intervention financée par l'UE avec des connaissances et/ou des compétences accrues en matière de genre (ventilé</w:t>
            </w:r>
            <w:r w:rsidRPr="00EB468C">
              <w:rPr>
                <w:i/>
                <w:color w:val="0D0D0D"/>
                <w:sz w:val="16"/>
              </w:rPr>
              <w:t xml:space="preserve"> par sexe, région, type d’organisation)</w:t>
            </w:r>
          </w:p>
        </w:tc>
        <w:tc>
          <w:tcPr>
            <w:tcW w:w="1650" w:type="dxa"/>
            <w:tcBorders>
              <w:bottom w:val="single" w:sz="8" w:space="0" w:color="000000"/>
              <w:right w:val="single" w:sz="8" w:space="0" w:color="000000"/>
            </w:tcBorders>
            <w:shd w:val="clear" w:color="auto" w:fill="auto"/>
            <w:tcMar>
              <w:top w:w="0" w:type="dxa"/>
              <w:left w:w="100" w:type="dxa"/>
              <w:bottom w:w="0" w:type="dxa"/>
              <w:right w:w="100" w:type="dxa"/>
            </w:tcMar>
          </w:tcPr>
          <w:p w14:paraId="580926FE" w14:textId="77777777" w:rsidR="00077524" w:rsidRPr="00EB468C" w:rsidRDefault="00077524" w:rsidP="00EB468C">
            <w:pPr>
              <w:spacing w:line="276" w:lineRule="auto"/>
              <w:ind w:hanging="2"/>
              <w:jc w:val="center"/>
              <w:rPr>
                <w:color w:val="0D0D0D"/>
                <w:sz w:val="16"/>
              </w:rPr>
            </w:pPr>
            <w:r w:rsidRPr="00EB468C">
              <w:rPr>
                <w:color w:val="0D0D0D"/>
                <w:sz w:val="16"/>
              </w:rPr>
              <w:t>0</w:t>
            </w:r>
          </w:p>
        </w:tc>
        <w:tc>
          <w:tcPr>
            <w:tcW w:w="1530" w:type="dxa"/>
            <w:tcBorders>
              <w:bottom w:val="single" w:sz="8" w:space="0" w:color="000000"/>
              <w:right w:val="single" w:sz="8" w:space="0" w:color="000000"/>
            </w:tcBorders>
            <w:shd w:val="clear" w:color="auto" w:fill="auto"/>
            <w:tcMar>
              <w:top w:w="0" w:type="dxa"/>
              <w:left w:w="100" w:type="dxa"/>
              <w:bottom w:w="0" w:type="dxa"/>
              <w:right w:w="100" w:type="dxa"/>
            </w:tcMar>
          </w:tcPr>
          <w:p w14:paraId="7229C5BF" w14:textId="77777777" w:rsidR="00077524" w:rsidRPr="00EB468C" w:rsidRDefault="00077524" w:rsidP="00EB468C">
            <w:pPr>
              <w:spacing w:line="276" w:lineRule="auto"/>
              <w:ind w:hanging="2"/>
              <w:jc w:val="center"/>
              <w:rPr>
                <w:color w:val="0D0D0D"/>
                <w:sz w:val="16"/>
              </w:rPr>
            </w:pPr>
            <w:r w:rsidRPr="00EB468C">
              <w:rPr>
                <w:color w:val="0D0D0D"/>
                <w:sz w:val="16"/>
              </w:rPr>
              <w:t>A déterminer ultérieurement</w:t>
            </w:r>
          </w:p>
        </w:tc>
        <w:tc>
          <w:tcPr>
            <w:tcW w:w="1755" w:type="dxa"/>
            <w:tcBorders>
              <w:bottom w:val="single" w:sz="8" w:space="0" w:color="000000"/>
              <w:right w:val="single" w:sz="8" w:space="0" w:color="000000"/>
            </w:tcBorders>
            <w:shd w:val="clear" w:color="auto" w:fill="auto"/>
            <w:tcMar>
              <w:top w:w="0" w:type="dxa"/>
              <w:left w:w="100" w:type="dxa"/>
              <w:bottom w:w="0" w:type="dxa"/>
              <w:right w:w="100" w:type="dxa"/>
            </w:tcMar>
          </w:tcPr>
          <w:p w14:paraId="47942AAB" w14:textId="77777777" w:rsidR="00077524" w:rsidRPr="00EB468C" w:rsidRDefault="00077524" w:rsidP="00EB468C">
            <w:pPr>
              <w:spacing w:line="276" w:lineRule="auto"/>
              <w:ind w:hanging="2"/>
              <w:rPr>
                <w:sz w:val="16"/>
              </w:rPr>
            </w:pPr>
            <w:r w:rsidRPr="00EB468C">
              <w:rPr>
                <w:sz w:val="16"/>
              </w:rPr>
              <w:t>Rapports d'avancement de l'intervention financée par l'UE</w:t>
            </w:r>
          </w:p>
          <w:p w14:paraId="1A35CCBF" w14:textId="77777777" w:rsidR="00077524" w:rsidRPr="00EB468C" w:rsidRDefault="00077524" w:rsidP="00EB468C">
            <w:pPr>
              <w:spacing w:before="240" w:line="276" w:lineRule="auto"/>
              <w:ind w:hanging="2"/>
              <w:rPr>
                <w:sz w:val="16"/>
              </w:rPr>
            </w:pPr>
            <w:r w:rsidRPr="00EB468C">
              <w:rPr>
                <w:sz w:val="16"/>
              </w:rPr>
              <w:t xml:space="preserve"> </w:t>
            </w:r>
          </w:p>
        </w:tc>
        <w:tc>
          <w:tcPr>
            <w:tcW w:w="256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1CFC8113" w14:textId="77777777" w:rsidR="00077524" w:rsidRPr="00EB468C" w:rsidRDefault="00077524" w:rsidP="00EB468C">
            <w:pPr>
              <w:ind w:hanging="2"/>
              <w:rPr>
                <w:color w:val="ED7D31"/>
                <w:sz w:val="16"/>
              </w:rPr>
            </w:pPr>
          </w:p>
        </w:tc>
      </w:tr>
      <w:tr w:rsidR="00077524" w:rsidRPr="008655E2" w14:paraId="6C5774D9" w14:textId="77777777" w:rsidTr="00585F62">
        <w:trPr>
          <w:trHeight w:val="457"/>
          <w:jc w:val="center"/>
        </w:trPr>
        <w:tc>
          <w:tcPr>
            <w:tcW w:w="1320"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A9A44D3" w14:textId="77777777" w:rsidR="00077524" w:rsidRPr="00EB468C" w:rsidRDefault="00077524" w:rsidP="00EB468C">
            <w:pPr>
              <w:ind w:hanging="2"/>
              <w:rPr>
                <w:color w:val="ED7D31"/>
                <w:sz w:val="16"/>
              </w:rPr>
            </w:pPr>
          </w:p>
        </w:tc>
        <w:tc>
          <w:tcPr>
            <w:tcW w:w="190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B4F2F2F" w14:textId="77777777" w:rsidR="00077524" w:rsidRPr="00EB468C" w:rsidRDefault="00077524" w:rsidP="00EB468C">
            <w:pPr>
              <w:ind w:hanging="2"/>
              <w:rPr>
                <w:color w:val="ED7D31"/>
                <w:sz w:val="16"/>
              </w:rPr>
            </w:pPr>
          </w:p>
        </w:tc>
        <w:tc>
          <w:tcPr>
            <w:tcW w:w="3750" w:type="dxa"/>
            <w:tcBorders>
              <w:bottom w:val="single" w:sz="8" w:space="0" w:color="000000"/>
              <w:right w:val="single" w:sz="8" w:space="0" w:color="000000"/>
            </w:tcBorders>
            <w:shd w:val="clear" w:color="auto" w:fill="auto"/>
            <w:tcMar>
              <w:top w:w="0" w:type="dxa"/>
              <w:left w:w="100" w:type="dxa"/>
              <w:bottom w:w="0" w:type="dxa"/>
              <w:right w:w="100" w:type="dxa"/>
            </w:tcMar>
          </w:tcPr>
          <w:p w14:paraId="27D22ACB" w14:textId="77777777" w:rsidR="00077524" w:rsidRPr="00EB468C" w:rsidRDefault="00077524" w:rsidP="00EB468C">
            <w:pPr>
              <w:spacing w:line="276" w:lineRule="auto"/>
              <w:ind w:hanging="2"/>
              <w:rPr>
                <w:color w:val="0D0D0D"/>
                <w:sz w:val="16"/>
              </w:rPr>
            </w:pPr>
            <w:r w:rsidRPr="00EB468C">
              <w:rPr>
                <w:color w:val="0D0D0D"/>
                <w:sz w:val="16"/>
              </w:rPr>
              <w:t>2.1.3 Nombre d’acteurs de l’ETFP disposant de guides internes pour la mise en œuvre de l’approche genre et la non-discrimination pour raison de handicap avec le soutien de l’UE</w:t>
            </w:r>
          </w:p>
        </w:tc>
        <w:tc>
          <w:tcPr>
            <w:tcW w:w="1650" w:type="dxa"/>
            <w:tcBorders>
              <w:bottom w:val="single" w:sz="8" w:space="0" w:color="000000"/>
              <w:right w:val="single" w:sz="8" w:space="0" w:color="000000"/>
            </w:tcBorders>
            <w:shd w:val="clear" w:color="auto" w:fill="auto"/>
            <w:tcMar>
              <w:top w:w="0" w:type="dxa"/>
              <w:left w:w="100" w:type="dxa"/>
              <w:bottom w:w="0" w:type="dxa"/>
              <w:right w:w="100" w:type="dxa"/>
            </w:tcMar>
          </w:tcPr>
          <w:p w14:paraId="44C06604" w14:textId="77777777" w:rsidR="00077524" w:rsidRPr="00EB468C" w:rsidRDefault="00077524" w:rsidP="00EB468C">
            <w:pPr>
              <w:spacing w:line="276" w:lineRule="auto"/>
              <w:ind w:hanging="2"/>
              <w:jc w:val="center"/>
              <w:rPr>
                <w:color w:val="0D0D0D"/>
                <w:sz w:val="16"/>
              </w:rPr>
            </w:pPr>
            <w:r w:rsidRPr="00EB468C">
              <w:rPr>
                <w:color w:val="0D0D0D"/>
                <w:sz w:val="16"/>
              </w:rPr>
              <w:t>0</w:t>
            </w:r>
          </w:p>
        </w:tc>
        <w:tc>
          <w:tcPr>
            <w:tcW w:w="1530" w:type="dxa"/>
            <w:tcBorders>
              <w:bottom w:val="single" w:sz="8" w:space="0" w:color="000000"/>
              <w:right w:val="single" w:sz="8" w:space="0" w:color="000000"/>
            </w:tcBorders>
            <w:shd w:val="clear" w:color="auto" w:fill="auto"/>
            <w:tcMar>
              <w:top w:w="0" w:type="dxa"/>
              <w:left w:w="100" w:type="dxa"/>
              <w:bottom w:w="0" w:type="dxa"/>
              <w:right w:w="100" w:type="dxa"/>
            </w:tcMar>
          </w:tcPr>
          <w:p w14:paraId="2416911B" w14:textId="77777777" w:rsidR="00077524" w:rsidRPr="00EB468C" w:rsidRDefault="00077524" w:rsidP="00EB468C">
            <w:pPr>
              <w:spacing w:line="276" w:lineRule="auto"/>
              <w:ind w:hanging="2"/>
              <w:jc w:val="center"/>
              <w:rPr>
                <w:color w:val="0D0D0D"/>
                <w:sz w:val="16"/>
              </w:rPr>
            </w:pPr>
            <w:r w:rsidRPr="00EB468C">
              <w:rPr>
                <w:color w:val="0D0D0D"/>
                <w:sz w:val="16"/>
              </w:rPr>
              <w:t>A déterminer ultérieurement</w:t>
            </w:r>
          </w:p>
        </w:tc>
        <w:tc>
          <w:tcPr>
            <w:tcW w:w="1755" w:type="dxa"/>
            <w:tcBorders>
              <w:bottom w:val="single" w:sz="8" w:space="0" w:color="000000"/>
              <w:right w:val="single" w:sz="8" w:space="0" w:color="000000"/>
            </w:tcBorders>
            <w:shd w:val="clear" w:color="auto" w:fill="auto"/>
            <w:tcMar>
              <w:top w:w="0" w:type="dxa"/>
              <w:left w:w="100" w:type="dxa"/>
              <w:bottom w:w="0" w:type="dxa"/>
              <w:right w:w="100" w:type="dxa"/>
            </w:tcMar>
          </w:tcPr>
          <w:p w14:paraId="10C970A2" w14:textId="77777777" w:rsidR="00077524" w:rsidRPr="00EB468C" w:rsidRDefault="00077524" w:rsidP="00EB468C">
            <w:pPr>
              <w:spacing w:line="276" w:lineRule="auto"/>
              <w:ind w:hanging="2"/>
              <w:rPr>
                <w:sz w:val="16"/>
              </w:rPr>
            </w:pPr>
            <w:r w:rsidRPr="00EB468C">
              <w:rPr>
                <w:sz w:val="16"/>
              </w:rPr>
              <w:t>Rapports d'avancement de l'intervention financée par l'UE</w:t>
            </w:r>
          </w:p>
        </w:tc>
        <w:tc>
          <w:tcPr>
            <w:tcW w:w="256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1AF2B6B1" w14:textId="77777777" w:rsidR="00077524" w:rsidRPr="00EB468C" w:rsidRDefault="00077524" w:rsidP="00EB468C">
            <w:pPr>
              <w:ind w:hanging="2"/>
              <w:rPr>
                <w:color w:val="ED7D31"/>
                <w:sz w:val="16"/>
              </w:rPr>
            </w:pPr>
          </w:p>
        </w:tc>
      </w:tr>
      <w:tr w:rsidR="00077524" w:rsidRPr="008655E2" w14:paraId="425E08EE" w14:textId="77777777" w:rsidTr="00585F62">
        <w:trPr>
          <w:trHeight w:val="150"/>
          <w:jc w:val="center"/>
        </w:trPr>
        <w:tc>
          <w:tcPr>
            <w:tcW w:w="1320" w:type="dxa"/>
            <w:vMerge w:val="restart"/>
            <w:tcBorders>
              <w:left w:val="single" w:sz="8" w:space="0" w:color="000000"/>
              <w:bottom w:val="single" w:sz="8" w:space="0" w:color="000000"/>
              <w:right w:val="single" w:sz="8" w:space="0" w:color="000000"/>
            </w:tcBorders>
            <w:shd w:val="clear" w:color="auto" w:fill="D9D9D9"/>
            <w:tcMar>
              <w:top w:w="0" w:type="dxa"/>
              <w:left w:w="100" w:type="dxa"/>
              <w:bottom w:w="0" w:type="dxa"/>
              <w:right w:w="100" w:type="dxa"/>
            </w:tcMar>
          </w:tcPr>
          <w:p w14:paraId="722A8CC9" w14:textId="77777777" w:rsidR="00077524" w:rsidRPr="00EB468C" w:rsidRDefault="00077524" w:rsidP="00EB468C">
            <w:pPr>
              <w:spacing w:line="276" w:lineRule="auto"/>
              <w:ind w:hanging="2"/>
              <w:rPr>
                <w:b/>
                <w:color w:val="0D0D0D"/>
                <w:sz w:val="16"/>
              </w:rPr>
            </w:pPr>
            <w:r w:rsidRPr="00EB468C">
              <w:rPr>
                <w:b/>
                <w:color w:val="0D0D0D"/>
                <w:sz w:val="16"/>
              </w:rPr>
              <w:t>Produit 2 lié à la réalisation 2</w:t>
            </w:r>
          </w:p>
          <w:p w14:paraId="6567E0D8" w14:textId="77777777" w:rsidR="00077524" w:rsidRPr="00EB468C" w:rsidRDefault="00077524" w:rsidP="00EB468C">
            <w:pPr>
              <w:spacing w:before="240" w:line="276" w:lineRule="auto"/>
              <w:ind w:hanging="2"/>
              <w:rPr>
                <w:b/>
                <w:color w:val="0D0D0D"/>
                <w:sz w:val="16"/>
              </w:rPr>
            </w:pPr>
            <w:r w:rsidRPr="00EB468C">
              <w:rPr>
                <w:b/>
                <w:color w:val="0D0D0D"/>
                <w:sz w:val="16"/>
              </w:rPr>
              <w:t xml:space="preserve"> </w:t>
            </w:r>
          </w:p>
        </w:tc>
        <w:tc>
          <w:tcPr>
            <w:tcW w:w="1905" w:type="dxa"/>
            <w:vMerge w:val="restart"/>
            <w:tcBorders>
              <w:bottom w:val="single" w:sz="8" w:space="0" w:color="000000"/>
              <w:right w:val="single" w:sz="8" w:space="0" w:color="000000"/>
            </w:tcBorders>
            <w:shd w:val="clear" w:color="auto" w:fill="auto"/>
            <w:tcMar>
              <w:top w:w="0" w:type="dxa"/>
              <w:left w:w="100" w:type="dxa"/>
              <w:bottom w:w="0" w:type="dxa"/>
              <w:right w:w="100" w:type="dxa"/>
            </w:tcMar>
          </w:tcPr>
          <w:p w14:paraId="5D29B8FA" w14:textId="77777777" w:rsidR="00077524" w:rsidRPr="00EB468C" w:rsidRDefault="00077524" w:rsidP="00EB468C">
            <w:pPr>
              <w:spacing w:line="276" w:lineRule="auto"/>
              <w:ind w:hanging="2"/>
              <w:rPr>
                <w:color w:val="0D0D0D"/>
                <w:sz w:val="16"/>
              </w:rPr>
            </w:pPr>
            <w:r w:rsidRPr="00EB468C">
              <w:rPr>
                <w:color w:val="0D0D0D"/>
                <w:sz w:val="16"/>
              </w:rPr>
              <w:t xml:space="preserve">2.2 Les capacités et les ressources des acteurs de l’ETFP sont renforcées en matière de </w:t>
            </w:r>
            <w:r w:rsidRPr="00EB468C">
              <w:rPr>
                <w:b/>
                <w:color w:val="0D0D0D"/>
                <w:sz w:val="16"/>
              </w:rPr>
              <w:t>compétences techniques et andragogiques</w:t>
            </w:r>
            <w:r w:rsidRPr="00EB468C">
              <w:rPr>
                <w:color w:val="0D0D0D"/>
                <w:sz w:val="16"/>
              </w:rPr>
              <w:t>.</w:t>
            </w:r>
          </w:p>
        </w:tc>
        <w:tc>
          <w:tcPr>
            <w:tcW w:w="3750" w:type="dxa"/>
            <w:tcBorders>
              <w:bottom w:val="single" w:sz="8" w:space="0" w:color="000000"/>
              <w:right w:val="single" w:sz="8" w:space="0" w:color="000000"/>
            </w:tcBorders>
            <w:shd w:val="clear" w:color="auto" w:fill="auto"/>
            <w:tcMar>
              <w:top w:w="0" w:type="dxa"/>
              <w:left w:w="100" w:type="dxa"/>
              <w:bottom w:w="0" w:type="dxa"/>
              <w:right w:w="100" w:type="dxa"/>
            </w:tcMar>
          </w:tcPr>
          <w:p w14:paraId="24AA27FD" w14:textId="77777777" w:rsidR="00077524" w:rsidRPr="00EB468C" w:rsidRDefault="00077524" w:rsidP="00EB468C">
            <w:pPr>
              <w:spacing w:line="276" w:lineRule="auto"/>
              <w:ind w:hanging="2"/>
              <w:rPr>
                <w:i/>
                <w:color w:val="0D0D0D"/>
                <w:sz w:val="16"/>
              </w:rPr>
            </w:pPr>
            <w:r w:rsidRPr="00EB468C">
              <w:rPr>
                <w:color w:val="0D0D0D"/>
                <w:sz w:val="16"/>
              </w:rPr>
              <w:t>2.2.1 Nombre d’acteurs de l’ETFP formés par l’intervention financée par l’UE ayant acquis de nouvelles connaissances et/ou compétences techniques et pédagogiques (</w:t>
            </w:r>
            <w:r w:rsidRPr="00EB468C">
              <w:rPr>
                <w:i/>
                <w:color w:val="0D0D0D"/>
                <w:sz w:val="16"/>
              </w:rPr>
              <w:t>ventilé</w:t>
            </w:r>
            <w:r w:rsidRPr="00EB468C">
              <w:rPr>
                <w:color w:val="0D0D0D"/>
                <w:sz w:val="16"/>
              </w:rPr>
              <w:t xml:space="preserve"> </w:t>
            </w:r>
            <w:r w:rsidRPr="00EB468C">
              <w:rPr>
                <w:i/>
                <w:color w:val="0D0D0D"/>
                <w:sz w:val="16"/>
              </w:rPr>
              <w:t>par région, filière, type d’organisation, domaine de compétences)</w:t>
            </w:r>
          </w:p>
        </w:tc>
        <w:tc>
          <w:tcPr>
            <w:tcW w:w="1650" w:type="dxa"/>
            <w:tcBorders>
              <w:bottom w:val="single" w:sz="8" w:space="0" w:color="000000"/>
              <w:right w:val="single" w:sz="8" w:space="0" w:color="000000"/>
            </w:tcBorders>
            <w:shd w:val="clear" w:color="auto" w:fill="auto"/>
            <w:tcMar>
              <w:top w:w="0" w:type="dxa"/>
              <w:left w:w="100" w:type="dxa"/>
              <w:bottom w:w="0" w:type="dxa"/>
              <w:right w:w="100" w:type="dxa"/>
            </w:tcMar>
          </w:tcPr>
          <w:p w14:paraId="2ECCCE3B" w14:textId="77777777" w:rsidR="00077524" w:rsidRPr="00EB468C" w:rsidRDefault="00077524" w:rsidP="00EB468C">
            <w:pPr>
              <w:spacing w:line="276" w:lineRule="auto"/>
              <w:ind w:hanging="2"/>
              <w:jc w:val="center"/>
              <w:rPr>
                <w:color w:val="0D0D0D"/>
                <w:sz w:val="16"/>
              </w:rPr>
            </w:pPr>
            <w:r w:rsidRPr="00EB468C">
              <w:rPr>
                <w:color w:val="0D0D0D"/>
                <w:sz w:val="16"/>
              </w:rPr>
              <w:t>0</w:t>
            </w:r>
          </w:p>
        </w:tc>
        <w:tc>
          <w:tcPr>
            <w:tcW w:w="1530" w:type="dxa"/>
            <w:tcBorders>
              <w:bottom w:val="single" w:sz="8" w:space="0" w:color="000000"/>
              <w:right w:val="single" w:sz="8" w:space="0" w:color="000000"/>
            </w:tcBorders>
            <w:shd w:val="clear" w:color="auto" w:fill="auto"/>
            <w:tcMar>
              <w:top w:w="0" w:type="dxa"/>
              <w:left w:w="100" w:type="dxa"/>
              <w:bottom w:w="0" w:type="dxa"/>
              <w:right w:w="100" w:type="dxa"/>
            </w:tcMar>
          </w:tcPr>
          <w:p w14:paraId="0210858E" w14:textId="77777777" w:rsidR="00077524" w:rsidRPr="00EB468C" w:rsidRDefault="00077524" w:rsidP="00EB468C">
            <w:pPr>
              <w:spacing w:line="276" w:lineRule="auto"/>
              <w:ind w:hanging="2"/>
              <w:jc w:val="center"/>
              <w:rPr>
                <w:color w:val="0D0D0D"/>
                <w:sz w:val="16"/>
              </w:rPr>
            </w:pPr>
            <w:r w:rsidRPr="00EB468C">
              <w:rPr>
                <w:color w:val="0D0D0D"/>
                <w:sz w:val="16"/>
              </w:rPr>
              <w:t>A déterminer ultérieurement</w:t>
            </w:r>
          </w:p>
        </w:tc>
        <w:tc>
          <w:tcPr>
            <w:tcW w:w="1755" w:type="dxa"/>
            <w:tcBorders>
              <w:bottom w:val="single" w:sz="8" w:space="0" w:color="000000"/>
              <w:right w:val="single" w:sz="8" w:space="0" w:color="000000"/>
            </w:tcBorders>
            <w:shd w:val="clear" w:color="auto" w:fill="auto"/>
            <w:tcMar>
              <w:top w:w="0" w:type="dxa"/>
              <w:left w:w="100" w:type="dxa"/>
              <w:bottom w:w="0" w:type="dxa"/>
              <w:right w:w="100" w:type="dxa"/>
            </w:tcMar>
          </w:tcPr>
          <w:p w14:paraId="4EE03D13" w14:textId="77777777" w:rsidR="00077524" w:rsidRPr="00EB468C" w:rsidRDefault="00077524" w:rsidP="00EB468C">
            <w:pPr>
              <w:spacing w:line="276" w:lineRule="auto"/>
              <w:ind w:hanging="2"/>
              <w:rPr>
                <w:sz w:val="16"/>
              </w:rPr>
            </w:pPr>
            <w:r w:rsidRPr="00EB468C">
              <w:rPr>
                <w:sz w:val="16"/>
              </w:rPr>
              <w:t>Rapports d'avancement de l'intervention financée par l'UE</w:t>
            </w:r>
          </w:p>
          <w:p w14:paraId="0B93ED5B" w14:textId="77777777" w:rsidR="00077524" w:rsidRPr="00EB468C" w:rsidRDefault="00077524" w:rsidP="00EB468C">
            <w:pPr>
              <w:spacing w:before="240" w:line="276" w:lineRule="auto"/>
              <w:ind w:hanging="2"/>
              <w:rPr>
                <w:sz w:val="16"/>
              </w:rPr>
            </w:pPr>
            <w:r w:rsidRPr="00EB468C">
              <w:rPr>
                <w:sz w:val="16"/>
              </w:rPr>
              <w:t xml:space="preserve"> </w:t>
            </w:r>
          </w:p>
        </w:tc>
        <w:tc>
          <w:tcPr>
            <w:tcW w:w="2565" w:type="dxa"/>
            <w:vMerge w:val="restart"/>
            <w:tcBorders>
              <w:bottom w:val="single" w:sz="8" w:space="0" w:color="000000"/>
              <w:right w:val="single" w:sz="8" w:space="0" w:color="000000"/>
            </w:tcBorders>
            <w:shd w:val="clear" w:color="auto" w:fill="auto"/>
            <w:tcMar>
              <w:top w:w="0" w:type="dxa"/>
              <w:left w:w="100" w:type="dxa"/>
              <w:bottom w:w="0" w:type="dxa"/>
              <w:right w:w="100" w:type="dxa"/>
            </w:tcMar>
          </w:tcPr>
          <w:p w14:paraId="4505724F" w14:textId="77777777" w:rsidR="00077524" w:rsidRPr="00EB468C" w:rsidRDefault="00077524" w:rsidP="00EB468C">
            <w:pPr>
              <w:spacing w:line="276" w:lineRule="auto"/>
              <w:ind w:hanging="2"/>
              <w:rPr>
                <w:i/>
                <w:color w:val="0D0D0D"/>
                <w:sz w:val="16"/>
              </w:rPr>
            </w:pPr>
            <w:r w:rsidRPr="00EB468C">
              <w:rPr>
                <w:i/>
                <w:color w:val="0D0D0D"/>
                <w:sz w:val="16"/>
              </w:rPr>
              <w:t>- Le personnel de l’ETFP public et des CFP privés reste stable</w:t>
            </w:r>
          </w:p>
          <w:p w14:paraId="7CFF07A7" w14:textId="77777777" w:rsidR="00077524" w:rsidRPr="00EB468C" w:rsidRDefault="00077524" w:rsidP="00EB468C">
            <w:pPr>
              <w:spacing w:before="240" w:line="276" w:lineRule="auto"/>
              <w:ind w:hanging="2"/>
              <w:rPr>
                <w:i/>
                <w:color w:val="0D0D0D"/>
                <w:sz w:val="16"/>
              </w:rPr>
            </w:pPr>
            <w:r w:rsidRPr="00EB468C">
              <w:rPr>
                <w:i/>
                <w:color w:val="0D0D0D"/>
                <w:sz w:val="16"/>
              </w:rPr>
              <w:t>- Les acteurs formés se voient donner l’autonomie et les ressources minimales pour mettre en œuvre le contenu des formations reçues</w:t>
            </w:r>
          </w:p>
          <w:p w14:paraId="5ED59265" w14:textId="77777777" w:rsidR="00077524" w:rsidRPr="00EB468C" w:rsidRDefault="00077524" w:rsidP="00EB468C">
            <w:pPr>
              <w:spacing w:before="240" w:line="276" w:lineRule="auto"/>
              <w:ind w:hanging="2"/>
              <w:rPr>
                <w:i/>
                <w:color w:val="0D0D0D"/>
                <w:sz w:val="16"/>
              </w:rPr>
            </w:pPr>
            <w:r w:rsidRPr="00EB468C">
              <w:rPr>
                <w:i/>
                <w:color w:val="0D0D0D"/>
                <w:sz w:val="16"/>
              </w:rPr>
              <w:t xml:space="preserve"> </w:t>
            </w:r>
          </w:p>
        </w:tc>
      </w:tr>
      <w:tr w:rsidR="00077524" w:rsidRPr="008655E2" w14:paraId="5B39D44B" w14:textId="77777777" w:rsidTr="00585F62">
        <w:trPr>
          <w:trHeight w:val="15"/>
          <w:jc w:val="center"/>
        </w:trPr>
        <w:tc>
          <w:tcPr>
            <w:tcW w:w="1320"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895CF1" w14:textId="77777777" w:rsidR="00077524" w:rsidRPr="00EB468C" w:rsidRDefault="00077524" w:rsidP="00EB468C">
            <w:pPr>
              <w:ind w:hanging="2"/>
              <w:rPr>
                <w:color w:val="ED7D31"/>
                <w:sz w:val="16"/>
              </w:rPr>
            </w:pPr>
          </w:p>
        </w:tc>
        <w:tc>
          <w:tcPr>
            <w:tcW w:w="190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2CBF5228" w14:textId="77777777" w:rsidR="00077524" w:rsidRPr="00EB468C" w:rsidRDefault="00077524" w:rsidP="00EB468C">
            <w:pPr>
              <w:ind w:hanging="2"/>
              <w:rPr>
                <w:color w:val="ED7D31"/>
                <w:sz w:val="16"/>
              </w:rPr>
            </w:pPr>
          </w:p>
        </w:tc>
        <w:tc>
          <w:tcPr>
            <w:tcW w:w="3750" w:type="dxa"/>
            <w:tcBorders>
              <w:bottom w:val="single" w:sz="8" w:space="0" w:color="000000"/>
              <w:right w:val="single" w:sz="8" w:space="0" w:color="000000"/>
            </w:tcBorders>
            <w:shd w:val="clear" w:color="auto" w:fill="auto"/>
            <w:tcMar>
              <w:top w:w="0" w:type="dxa"/>
              <w:left w:w="100" w:type="dxa"/>
              <w:bottom w:w="0" w:type="dxa"/>
              <w:right w:w="100" w:type="dxa"/>
            </w:tcMar>
          </w:tcPr>
          <w:p w14:paraId="42BFA2BF" w14:textId="77777777" w:rsidR="00077524" w:rsidRPr="00EB468C" w:rsidRDefault="00077524" w:rsidP="00EB468C">
            <w:pPr>
              <w:spacing w:line="276" w:lineRule="auto"/>
              <w:ind w:hanging="2"/>
              <w:rPr>
                <w:i/>
                <w:color w:val="0D0D0D"/>
                <w:sz w:val="16"/>
              </w:rPr>
            </w:pPr>
            <w:r w:rsidRPr="00EB468C">
              <w:rPr>
                <w:color w:val="0D0D0D"/>
                <w:sz w:val="16"/>
              </w:rPr>
              <w:t>2.2.2 Nombre d’actions de suivi-évaluation de la formation et de l’insertion professionnelles sensibles au genre et menées par les CFP eux-mêmes  genre avec le soutien de l’UE (</w:t>
            </w:r>
            <w:r w:rsidRPr="00EB468C">
              <w:rPr>
                <w:i/>
                <w:color w:val="0D0D0D"/>
                <w:sz w:val="16"/>
              </w:rPr>
              <w:t>ventilé par région, filière, type d’organisation)</w:t>
            </w:r>
          </w:p>
        </w:tc>
        <w:tc>
          <w:tcPr>
            <w:tcW w:w="1650" w:type="dxa"/>
            <w:tcBorders>
              <w:bottom w:val="single" w:sz="8" w:space="0" w:color="000000"/>
              <w:right w:val="single" w:sz="8" w:space="0" w:color="000000"/>
            </w:tcBorders>
            <w:shd w:val="clear" w:color="auto" w:fill="auto"/>
            <w:tcMar>
              <w:top w:w="0" w:type="dxa"/>
              <w:left w:w="100" w:type="dxa"/>
              <w:bottom w:w="0" w:type="dxa"/>
              <w:right w:w="100" w:type="dxa"/>
            </w:tcMar>
          </w:tcPr>
          <w:p w14:paraId="4CD34789" w14:textId="77777777" w:rsidR="00077524" w:rsidRPr="00EB468C" w:rsidRDefault="00077524" w:rsidP="00EB468C">
            <w:pPr>
              <w:spacing w:line="276" w:lineRule="auto"/>
              <w:ind w:hanging="2"/>
              <w:jc w:val="center"/>
              <w:rPr>
                <w:color w:val="0D0D0D"/>
                <w:sz w:val="16"/>
              </w:rPr>
            </w:pPr>
            <w:r w:rsidRPr="00EB468C">
              <w:rPr>
                <w:color w:val="0D0D0D"/>
                <w:sz w:val="16"/>
              </w:rPr>
              <w:t>0</w:t>
            </w:r>
          </w:p>
        </w:tc>
        <w:tc>
          <w:tcPr>
            <w:tcW w:w="1530" w:type="dxa"/>
            <w:tcBorders>
              <w:bottom w:val="single" w:sz="8" w:space="0" w:color="000000"/>
              <w:right w:val="single" w:sz="8" w:space="0" w:color="000000"/>
            </w:tcBorders>
            <w:shd w:val="clear" w:color="auto" w:fill="auto"/>
            <w:tcMar>
              <w:top w:w="0" w:type="dxa"/>
              <w:left w:w="100" w:type="dxa"/>
              <w:bottom w:w="0" w:type="dxa"/>
              <w:right w:w="100" w:type="dxa"/>
            </w:tcMar>
          </w:tcPr>
          <w:p w14:paraId="606C3DEA" w14:textId="77777777" w:rsidR="00077524" w:rsidRPr="00EB468C" w:rsidRDefault="00077524" w:rsidP="00EB468C">
            <w:pPr>
              <w:spacing w:line="276" w:lineRule="auto"/>
              <w:ind w:hanging="2"/>
              <w:jc w:val="center"/>
              <w:rPr>
                <w:color w:val="0D0D0D"/>
                <w:sz w:val="16"/>
              </w:rPr>
            </w:pPr>
            <w:r w:rsidRPr="00EB468C">
              <w:rPr>
                <w:color w:val="0D0D0D"/>
                <w:sz w:val="16"/>
              </w:rPr>
              <w:t>A déterminer ultérieurement</w:t>
            </w:r>
          </w:p>
        </w:tc>
        <w:tc>
          <w:tcPr>
            <w:tcW w:w="1755" w:type="dxa"/>
            <w:tcBorders>
              <w:bottom w:val="single" w:sz="8" w:space="0" w:color="000000"/>
              <w:right w:val="single" w:sz="8" w:space="0" w:color="000000"/>
            </w:tcBorders>
            <w:shd w:val="clear" w:color="auto" w:fill="auto"/>
            <w:tcMar>
              <w:top w:w="0" w:type="dxa"/>
              <w:left w:w="100" w:type="dxa"/>
              <w:bottom w:w="0" w:type="dxa"/>
              <w:right w:w="100" w:type="dxa"/>
            </w:tcMar>
          </w:tcPr>
          <w:p w14:paraId="33903078" w14:textId="77777777" w:rsidR="00077524" w:rsidRPr="00EB468C" w:rsidRDefault="00077524" w:rsidP="00EB468C">
            <w:pPr>
              <w:spacing w:line="276" w:lineRule="auto"/>
              <w:ind w:hanging="2"/>
              <w:rPr>
                <w:sz w:val="16"/>
              </w:rPr>
            </w:pPr>
            <w:r w:rsidRPr="00EB468C">
              <w:rPr>
                <w:sz w:val="16"/>
              </w:rPr>
              <w:t>Rapports d'avancement de l'intervention financée par l'UE</w:t>
            </w:r>
          </w:p>
          <w:p w14:paraId="3DA04C1A" w14:textId="77777777" w:rsidR="00077524" w:rsidRPr="00EB468C" w:rsidRDefault="00077524" w:rsidP="00EB468C">
            <w:pPr>
              <w:spacing w:before="240" w:line="276" w:lineRule="auto"/>
              <w:ind w:hanging="2"/>
              <w:rPr>
                <w:sz w:val="16"/>
              </w:rPr>
            </w:pPr>
            <w:r w:rsidRPr="00EB468C">
              <w:rPr>
                <w:sz w:val="16"/>
              </w:rPr>
              <w:t xml:space="preserve"> </w:t>
            </w:r>
          </w:p>
        </w:tc>
        <w:tc>
          <w:tcPr>
            <w:tcW w:w="256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4994597C" w14:textId="77777777" w:rsidR="00077524" w:rsidRPr="00EB468C" w:rsidRDefault="00077524" w:rsidP="00EB468C">
            <w:pPr>
              <w:ind w:hanging="2"/>
              <w:rPr>
                <w:color w:val="ED7D31"/>
                <w:sz w:val="16"/>
              </w:rPr>
            </w:pPr>
          </w:p>
        </w:tc>
      </w:tr>
      <w:tr w:rsidR="00585F62" w:rsidRPr="008655E2" w14:paraId="790A13FB" w14:textId="77777777" w:rsidTr="00585F62">
        <w:trPr>
          <w:trHeight w:val="157"/>
          <w:jc w:val="center"/>
        </w:trPr>
        <w:tc>
          <w:tcPr>
            <w:tcW w:w="1320"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9230D0" w14:textId="77777777" w:rsidR="00077524" w:rsidRPr="00EB468C" w:rsidRDefault="00077524" w:rsidP="00EB468C">
            <w:pPr>
              <w:ind w:hanging="2"/>
              <w:rPr>
                <w:color w:val="ED7D31"/>
                <w:sz w:val="16"/>
              </w:rPr>
            </w:pPr>
          </w:p>
        </w:tc>
        <w:tc>
          <w:tcPr>
            <w:tcW w:w="190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767872A" w14:textId="77777777" w:rsidR="00077524" w:rsidRPr="00EB468C" w:rsidRDefault="00077524" w:rsidP="00EB468C">
            <w:pPr>
              <w:ind w:hanging="2"/>
              <w:rPr>
                <w:color w:val="ED7D31"/>
                <w:sz w:val="16"/>
              </w:rPr>
            </w:pPr>
          </w:p>
        </w:tc>
        <w:tc>
          <w:tcPr>
            <w:tcW w:w="3750" w:type="dxa"/>
            <w:tcBorders>
              <w:bottom w:val="single" w:sz="8" w:space="0" w:color="000000"/>
              <w:right w:val="single" w:sz="8" w:space="0" w:color="000000"/>
            </w:tcBorders>
            <w:shd w:val="clear" w:color="auto" w:fill="FFFFFF"/>
            <w:tcMar>
              <w:top w:w="0" w:type="dxa"/>
              <w:left w:w="100" w:type="dxa"/>
              <w:bottom w:w="0" w:type="dxa"/>
              <w:right w:w="100" w:type="dxa"/>
            </w:tcMar>
          </w:tcPr>
          <w:p w14:paraId="29B90371" w14:textId="77777777" w:rsidR="00077524" w:rsidRPr="00EB468C" w:rsidRDefault="00077524" w:rsidP="00EB468C">
            <w:pPr>
              <w:spacing w:line="276" w:lineRule="auto"/>
              <w:ind w:hanging="2"/>
              <w:rPr>
                <w:i/>
                <w:color w:val="0D0D0D"/>
                <w:sz w:val="16"/>
              </w:rPr>
            </w:pPr>
            <w:r w:rsidRPr="00EB468C">
              <w:rPr>
                <w:color w:val="0D0D0D"/>
                <w:sz w:val="16"/>
              </w:rPr>
              <w:t>2.2.3 Nombre d’établissements de l’ETFP disposant d’un projet d’établissement concerté avec le soutien de l’UE (</w:t>
            </w:r>
            <w:r w:rsidRPr="00EB468C">
              <w:rPr>
                <w:i/>
                <w:color w:val="0D0D0D"/>
                <w:sz w:val="16"/>
              </w:rPr>
              <w:t>ventilé</w:t>
            </w:r>
            <w:r w:rsidRPr="00EB468C">
              <w:rPr>
                <w:color w:val="0D0D0D"/>
                <w:sz w:val="16"/>
              </w:rPr>
              <w:t xml:space="preserve"> </w:t>
            </w:r>
            <w:r w:rsidRPr="00EB468C">
              <w:rPr>
                <w:i/>
                <w:color w:val="0D0D0D"/>
                <w:sz w:val="16"/>
              </w:rPr>
              <w:t>par région, filière, statut privé/public)</w:t>
            </w:r>
          </w:p>
        </w:tc>
        <w:tc>
          <w:tcPr>
            <w:tcW w:w="1650" w:type="dxa"/>
            <w:tcBorders>
              <w:bottom w:val="single" w:sz="8" w:space="0" w:color="000000"/>
              <w:right w:val="single" w:sz="8" w:space="0" w:color="000000"/>
            </w:tcBorders>
            <w:shd w:val="clear" w:color="auto" w:fill="auto"/>
            <w:tcMar>
              <w:top w:w="0" w:type="dxa"/>
              <w:left w:w="100" w:type="dxa"/>
              <w:bottom w:w="0" w:type="dxa"/>
              <w:right w:w="100" w:type="dxa"/>
            </w:tcMar>
          </w:tcPr>
          <w:p w14:paraId="39C5CDD5" w14:textId="77777777" w:rsidR="00077524" w:rsidRPr="00EB468C" w:rsidRDefault="00077524" w:rsidP="00EB468C">
            <w:pPr>
              <w:spacing w:line="276" w:lineRule="auto"/>
              <w:ind w:hanging="2"/>
              <w:jc w:val="center"/>
              <w:rPr>
                <w:color w:val="0D0D0D"/>
                <w:sz w:val="16"/>
              </w:rPr>
            </w:pPr>
            <w:r w:rsidRPr="00EB468C">
              <w:rPr>
                <w:color w:val="0D0D0D"/>
                <w:sz w:val="16"/>
              </w:rPr>
              <w:t>0</w:t>
            </w:r>
          </w:p>
        </w:tc>
        <w:tc>
          <w:tcPr>
            <w:tcW w:w="1530" w:type="dxa"/>
            <w:tcBorders>
              <w:bottom w:val="single" w:sz="8" w:space="0" w:color="000000"/>
              <w:right w:val="single" w:sz="8" w:space="0" w:color="000000"/>
            </w:tcBorders>
            <w:shd w:val="clear" w:color="auto" w:fill="auto"/>
            <w:tcMar>
              <w:top w:w="0" w:type="dxa"/>
              <w:left w:w="100" w:type="dxa"/>
              <w:bottom w:w="0" w:type="dxa"/>
              <w:right w:w="100" w:type="dxa"/>
            </w:tcMar>
          </w:tcPr>
          <w:p w14:paraId="74763EAA" w14:textId="77777777" w:rsidR="00077524" w:rsidRPr="00EB468C" w:rsidRDefault="00077524" w:rsidP="00EB468C">
            <w:pPr>
              <w:spacing w:line="276" w:lineRule="auto"/>
              <w:ind w:hanging="2"/>
              <w:jc w:val="center"/>
              <w:rPr>
                <w:color w:val="0D0D0D"/>
                <w:sz w:val="16"/>
              </w:rPr>
            </w:pPr>
            <w:r w:rsidRPr="00EB468C">
              <w:rPr>
                <w:color w:val="0D0D0D"/>
                <w:sz w:val="16"/>
              </w:rPr>
              <w:t>A déterminer  ultérieurement</w:t>
            </w:r>
          </w:p>
        </w:tc>
        <w:tc>
          <w:tcPr>
            <w:tcW w:w="1755" w:type="dxa"/>
            <w:tcBorders>
              <w:bottom w:val="single" w:sz="8" w:space="0" w:color="000000"/>
              <w:right w:val="single" w:sz="8" w:space="0" w:color="000000"/>
            </w:tcBorders>
            <w:shd w:val="clear" w:color="auto" w:fill="auto"/>
            <w:tcMar>
              <w:top w:w="0" w:type="dxa"/>
              <w:left w:w="100" w:type="dxa"/>
              <w:bottom w:w="0" w:type="dxa"/>
              <w:right w:w="100" w:type="dxa"/>
            </w:tcMar>
          </w:tcPr>
          <w:p w14:paraId="774EFB3D" w14:textId="77777777" w:rsidR="00077524" w:rsidRPr="00EB468C" w:rsidRDefault="00077524" w:rsidP="00EB468C">
            <w:pPr>
              <w:spacing w:line="276" w:lineRule="auto"/>
              <w:ind w:hanging="2"/>
              <w:rPr>
                <w:sz w:val="16"/>
              </w:rPr>
            </w:pPr>
            <w:r w:rsidRPr="00EB468C">
              <w:rPr>
                <w:sz w:val="16"/>
              </w:rPr>
              <w:t>Rapports d'avancement de l'intervention financée par l'UE</w:t>
            </w:r>
          </w:p>
        </w:tc>
        <w:tc>
          <w:tcPr>
            <w:tcW w:w="2565"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2C093A30" w14:textId="77777777" w:rsidR="00077524" w:rsidRPr="00EB468C" w:rsidRDefault="00077524" w:rsidP="00EB468C">
            <w:pPr>
              <w:ind w:hanging="2"/>
              <w:rPr>
                <w:color w:val="ED7D31"/>
                <w:sz w:val="16"/>
              </w:rPr>
            </w:pPr>
          </w:p>
        </w:tc>
      </w:tr>
    </w:tbl>
    <w:p w14:paraId="19BDF025" w14:textId="77777777" w:rsidR="00D86ABF" w:rsidRPr="00EB468C" w:rsidRDefault="00D86ABF" w:rsidP="00EB468C"/>
    <w:sectPr w:rsidR="00D86ABF" w:rsidRPr="00EB468C" w:rsidSect="00EB468C">
      <w:footerReference w:type="default" r:id="rId13"/>
      <w:pgSz w:w="16840" w:h="11900" w:orient="landscape"/>
      <w:pgMar w:top="957" w:right="1417" w:bottom="1417" w:left="1417" w:header="708" w:footer="70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0005D" w14:textId="77777777" w:rsidR="008551F2" w:rsidRDefault="008551F2" w:rsidP="00D86ABF">
      <w:pPr>
        <w:spacing w:line="240" w:lineRule="auto"/>
      </w:pPr>
      <w:r>
        <w:separator/>
      </w:r>
    </w:p>
  </w:endnote>
  <w:endnote w:type="continuationSeparator" w:id="0">
    <w:p w14:paraId="12DC06C5" w14:textId="77777777" w:rsidR="008551F2" w:rsidRDefault="008551F2" w:rsidP="00D86ABF">
      <w:pPr>
        <w:spacing w:line="240" w:lineRule="auto"/>
      </w:pPr>
      <w:r>
        <w:continuationSeparator/>
      </w:r>
    </w:p>
  </w:endnote>
  <w:endnote w:type="continuationNotice" w:id="1">
    <w:p w14:paraId="7779FD9F" w14:textId="77777777" w:rsidR="008551F2" w:rsidRDefault="008551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A56F6" w14:textId="4E045303" w:rsidR="00341D17" w:rsidRDefault="00341D17" w:rsidP="00D86ABF">
    <w:pPr>
      <w:pStyle w:val="Pieddepage"/>
      <w:pBdr>
        <w:top w:val="single" w:sz="4" w:space="1" w:color="auto"/>
      </w:pBdr>
      <w:tabs>
        <w:tab w:val="left" w:pos="2694"/>
      </w:tabs>
    </w:pPr>
    <w:r>
      <w:fldChar w:fldCharType="begin"/>
    </w:r>
    <w:r>
      <w:instrText xml:space="preserve"> TIME \@ "dd/MM/yyyy" </w:instrText>
    </w:r>
    <w:r>
      <w:fldChar w:fldCharType="separate"/>
    </w:r>
    <w:r w:rsidR="00986AEE">
      <w:rPr>
        <w:noProof/>
      </w:rPr>
      <w:t>23/03/2026</w:t>
    </w:r>
    <w:r>
      <w:rPr>
        <w:noProof/>
      </w:rPr>
      <w:fldChar w:fldCharType="end"/>
    </w:r>
    <w:r>
      <w:tab/>
    </w:r>
    <w:r>
      <w:tab/>
    </w:r>
    <w:r>
      <w:fldChar w:fldCharType="begin"/>
    </w:r>
    <w:r>
      <w:instrText>PAGE   \* MERGEFORMAT</w:instrText>
    </w:r>
    <w:r>
      <w:fldChar w:fldCharType="separate"/>
    </w:r>
    <w:r w:rsidR="00B14851">
      <w:rPr>
        <w:noProof/>
      </w:rPr>
      <w:t>16</w:t>
    </w:r>
    <w:r>
      <w:rPr>
        <w:noProof/>
      </w:rPr>
      <w:fldChar w:fldCharType="end"/>
    </w:r>
  </w:p>
  <w:p w14:paraId="15C6F403" w14:textId="77777777" w:rsidR="00341D17" w:rsidRPr="00FF4ABC" w:rsidRDefault="00341D17">
    <w:pPr>
      <w:pStyle w:val="Pieddepage"/>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9F846" w14:textId="77777777" w:rsidR="008551F2" w:rsidRDefault="008551F2" w:rsidP="00D86ABF">
      <w:pPr>
        <w:spacing w:line="240" w:lineRule="auto"/>
      </w:pPr>
      <w:r>
        <w:separator/>
      </w:r>
    </w:p>
  </w:footnote>
  <w:footnote w:type="continuationSeparator" w:id="0">
    <w:p w14:paraId="67941969" w14:textId="77777777" w:rsidR="008551F2" w:rsidRDefault="008551F2" w:rsidP="00D86ABF">
      <w:pPr>
        <w:spacing w:line="240" w:lineRule="auto"/>
      </w:pPr>
      <w:r>
        <w:continuationSeparator/>
      </w:r>
    </w:p>
  </w:footnote>
  <w:footnote w:type="continuationNotice" w:id="1">
    <w:p w14:paraId="06DC0FC7" w14:textId="77777777" w:rsidR="008551F2" w:rsidRDefault="008551F2">
      <w:pPr>
        <w:spacing w:line="240" w:lineRule="auto"/>
      </w:pPr>
    </w:p>
  </w:footnote>
  <w:footnote w:id="2">
    <w:p w14:paraId="6D0ED541" w14:textId="77777777" w:rsidR="00341D17" w:rsidRPr="00EB468C" w:rsidRDefault="00341D17" w:rsidP="00EB468C">
      <w:pPr>
        <w:ind w:hanging="2"/>
        <w:rPr>
          <w:sz w:val="18"/>
        </w:rPr>
      </w:pPr>
      <w:r>
        <w:rPr>
          <w:vertAlign w:val="superscript"/>
        </w:rPr>
        <w:footnoteRef/>
      </w:r>
      <w:r w:rsidRPr="00C45936">
        <w:rPr>
          <w:szCs w:val="20"/>
        </w:rPr>
        <w:t xml:space="preserve"> </w:t>
      </w:r>
      <w:r w:rsidRPr="00EB468C">
        <w:rPr>
          <w:sz w:val="18"/>
        </w:rPr>
        <w:t>« Indicateurs de prestation de services en éducation – Round II et tableau de bord mondial des politiques de l’éducation – Round I (2021) », Ministère de l’Education Nationale, Banque Mondiale</w:t>
      </w:r>
    </w:p>
  </w:footnote>
  <w:footnote w:id="3">
    <w:p w14:paraId="2B2CC5A3" w14:textId="5AB4C052" w:rsidR="00341D17" w:rsidRPr="00EB468C" w:rsidRDefault="00341D17" w:rsidP="00EB468C">
      <w:pPr>
        <w:pStyle w:val="Notedebasdepage"/>
        <w:spacing w:after="0"/>
        <w:rPr>
          <w:i w:val="0"/>
          <w:sz w:val="21"/>
          <w:szCs w:val="21"/>
        </w:rPr>
      </w:pPr>
      <w:r w:rsidRPr="00EB468C">
        <w:rPr>
          <w:rStyle w:val="Appelnotedebasdep"/>
          <w:i w:val="0"/>
          <w:sz w:val="21"/>
          <w:szCs w:val="21"/>
        </w:rPr>
        <w:footnoteRef/>
      </w:r>
      <w:r w:rsidRPr="00EB468C">
        <w:rPr>
          <w:i w:val="0"/>
          <w:sz w:val="21"/>
          <w:szCs w:val="21"/>
        </w:rPr>
        <w:t xml:space="preserve"> Adopté le 15/12/2023 par la Commission Européenne, pour un montant total de 35,5 M €.</w:t>
      </w:r>
      <w:r w:rsidRPr="00EB468C">
        <w:rPr>
          <w:sz w:val="21"/>
          <w:szCs w:val="21"/>
        </w:rPr>
        <w:t xml:space="preserve"> </w:t>
      </w:r>
      <w:r w:rsidRPr="00EB468C">
        <w:rPr>
          <w:i w:val="0"/>
          <w:sz w:val="21"/>
          <w:szCs w:val="21"/>
        </w:rPr>
        <w:t>Il sera mis en œuvre via une subvention à Expertise France (22M€), à l’AUF (4M€) et une délégation à l’AFD (8M€)</w:t>
      </w:r>
    </w:p>
  </w:footnote>
  <w:footnote w:id="4">
    <w:p w14:paraId="285ED1F8" w14:textId="77777777" w:rsidR="00341D17" w:rsidRPr="00EB468C" w:rsidRDefault="00341D17" w:rsidP="00EB468C">
      <w:pPr>
        <w:pStyle w:val="Notedebasdepage"/>
        <w:spacing w:after="0"/>
        <w:rPr>
          <w:i w:val="0"/>
          <w:sz w:val="21"/>
          <w:szCs w:val="21"/>
        </w:rPr>
      </w:pPr>
      <w:r w:rsidRPr="00EB468C">
        <w:rPr>
          <w:rStyle w:val="Appelnotedebasdep"/>
          <w:rFonts w:eastAsiaTheme="majorEastAsia"/>
          <w:i w:val="0"/>
          <w:sz w:val="21"/>
          <w:szCs w:val="21"/>
        </w:rPr>
        <w:footnoteRef/>
      </w:r>
      <w:r w:rsidRPr="00EB468C">
        <w:rPr>
          <w:i w:val="0"/>
          <w:sz w:val="21"/>
          <w:szCs w:val="21"/>
        </w:rPr>
        <w:t xml:space="preserve"> Prévus au nombre de 4 : 1) co-financement des audits externes, 2) Renforcement du dispositif de suivi de l’AFD localement avec une personne dédiée pour la gestion de la délégation, 3) assistance technique dédiée pour les questions du genre au sein du METFP et 4) contrat de communication &amp; visibilité. </w:t>
      </w:r>
    </w:p>
  </w:footnote>
  <w:footnote w:id="5">
    <w:p w14:paraId="0CB447C6" w14:textId="2483B548" w:rsidR="00341D17" w:rsidRDefault="00341D17">
      <w:pPr>
        <w:pStyle w:val="Notedebasdepage"/>
      </w:pPr>
      <w:r w:rsidRPr="00EB468C">
        <w:rPr>
          <w:rStyle w:val="Appelnotedebasdep"/>
          <w:sz w:val="21"/>
          <w:szCs w:val="21"/>
        </w:rPr>
        <w:footnoteRef/>
      </w:r>
      <w:r w:rsidRPr="00EB468C">
        <w:rPr>
          <w:sz w:val="21"/>
          <w:szCs w:val="21"/>
        </w:rPr>
        <w:t xml:space="preserve"> </w:t>
      </w:r>
      <w:r w:rsidRPr="00EB468C">
        <w:rPr>
          <w:i w:val="0"/>
          <w:sz w:val="21"/>
          <w:szCs w:val="21"/>
        </w:rPr>
        <w:t xml:space="preserve"> CAS, compte d’affectation spéciale au Trésor</w:t>
      </w:r>
    </w:p>
  </w:footnote>
  <w:footnote w:id="6">
    <w:p w14:paraId="25C0E124" w14:textId="0C590ADE" w:rsidR="00341D17" w:rsidRDefault="00341D17">
      <w:pPr>
        <w:pStyle w:val="Notedebasdepage"/>
      </w:pPr>
      <w:r>
        <w:rPr>
          <w:rStyle w:val="Appelnotedebasdep"/>
        </w:rPr>
        <w:footnoteRef/>
      </w:r>
      <w:r>
        <w:t xml:space="preserve"> </w:t>
      </w:r>
      <w:r w:rsidRPr="00EB468C">
        <w:rPr>
          <w:i w:val="0"/>
          <w:color w:val="222222"/>
          <w:sz w:val="21"/>
          <w:szCs w:val="21"/>
        </w:rPr>
        <w:t>Suivi de l’élaboration de la planification annuelle, suivi de l’élaboration des conventions avec les établissements publics rattachés, suivi des marchés à lancer en lien avec l’assistance technique mobilisée, etc.</w:t>
      </w:r>
    </w:p>
  </w:footnote>
  <w:footnote w:id="7">
    <w:p w14:paraId="47E4A367" w14:textId="362ACC1C" w:rsidR="00341D17" w:rsidRPr="00EB468C" w:rsidRDefault="00341D17">
      <w:pPr>
        <w:pStyle w:val="Notedebasdepage"/>
        <w:rPr>
          <w:i w:val="0"/>
          <w:sz w:val="21"/>
          <w:szCs w:val="21"/>
        </w:rPr>
      </w:pPr>
      <w:r w:rsidRPr="00EB468C">
        <w:rPr>
          <w:rStyle w:val="Appelnotedebasdep"/>
          <w:i w:val="0"/>
          <w:sz w:val="21"/>
          <w:szCs w:val="21"/>
        </w:rPr>
        <w:footnoteRef/>
      </w:r>
      <w:r w:rsidRPr="00EB468C">
        <w:rPr>
          <w:i w:val="0"/>
          <w:sz w:val="21"/>
          <w:szCs w:val="21"/>
        </w:rPr>
        <w:t xml:space="preserve"> </w:t>
      </w:r>
      <w:r>
        <w:rPr>
          <w:i w:val="0"/>
          <w:sz w:val="21"/>
          <w:szCs w:val="21"/>
        </w:rPr>
        <w:t>A</w:t>
      </w:r>
      <w:r w:rsidRPr="00EB468C">
        <w:rPr>
          <w:i w:val="0"/>
          <w:color w:val="222222"/>
          <w:sz w:val="21"/>
          <w:szCs w:val="21"/>
        </w:rPr>
        <w:t>ppui au démarrage des prestations, contrôle des délais, appui à la préparation des missions le cas échéant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C07C8"/>
    <w:multiLevelType w:val="hybridMultilevel"/>
    <w:tmpl w:val="654C6B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E84AC4"/>
    <w:multiLevelType w:val="hybridMultilevel"/>
    <w:tmpl w:val="9F3423D6"/>
    <w:lvl w:ilvl="0" w:tplc="1C68350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ED1404"/>
    <w:multiLevelType w:val="hybridMultilevel"/>
    <w:tmpl w:val="45A06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A43512"/>
    <w:multiLevelType w:val="hybridMultilevel"/>
    <w:tmpl w:val="CEE6F59E"/>
    <w:lvl w:ilvl="0" w:tplc="040C0001">
      <w:start w:val="1"/>
      <w:numFmt w:val="bullet"/>
      <w:lvlText w:val=""/>
      <w:lvlJc w:val="left"/>
      <w:pPr>
        <w:ind w:left="720" w:hanging="360"/>
      </w:pPr>
      <w:rPr>
        <w:rFonts w:ascii="Symbol" w:hAnsi="Symbol" w:hint="default"/>
      </w:rPr>
    </w:lvl>
    <w:lvl w:ilvl="1" w:tplc="6A68A988">
      <w:start w:val="4"/>
      <w:numFmt w:val="bullet"/>
      <w:lvlText w:val="-"/>
      <w:lvlJc w:val="left"/>
      <w:pPr>
        <w:ind w:left="1440" w:hanging="360"/>
      </w:pPr>
      <w:rPr>
        <w:rFonts w:ascii="Times New Roman" w:eastAsia="Times New Roman" w:hAnsi="Times New Roman" w:cs="Times New Roman"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D6B6A"/>
    <w:multiLevelType w:val="hybridMultilevel"/>
    <w:tmpl w:val="82B49E9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4846B9"/>
    <w:multiLevelType w:val="multilevel"/>
    <w:tmpl w:val="9978F5D4"/>
    <w:lvl w:ilvl="0">
      <w:start w:val="1"/>
      <w:numFmt w:val="upperRoman"/>
      <w:pStyle w:val="Titre1"/>
      <w:lvlText w:val="%1."/>
      <w:lvlJc w:val="left"/>
      <w:pPr>
        <w:ind w:left="0" w:firstLine="0"/>
      </w:pPr>
      <w:rPr>
        <w:b/>
        <w:i w:val="0"/>
        <w:sz w:val="22"/>
      </w:rPr>
    </w:lvl>
    <w:lvl w:ilvl="1">
      <w:start w:val="1"/>
      <w:numFmt w:val="upperLetter"/>
      <w:lvlText w:val="%2."/>
      <w:lvlJc w:val="left"/>
      <w:pPr>
        <w:ind w:left="720" w:firstLine="0"/>
      </w:pPr>
      <w:rPr>
        <w:b/>
        <w:i w:val="0"/>
        <w:sz w:val="24"/>
      </w:r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6" w15:restartNumberingAfterBreak="0">
    <w:nsid w:val="0C92743A"/>
    <w:multiLevelType w:val="hybridMultilevel"/>
    <w:tmpl w:val="216C90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01058EB"/>
    <w:multiLevelType w:val="hybridMultilevel"/>
    <w:tmpl w:val="D980A824"/>
    <w:lvl w:ilvl="0" w:tplc="6A68A988">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1D677ED"/>
    <w:multiLevelType w:val="hybridMultilevel"/>
    <w:tmpl w:val="2A22E774"/>
    <w:lvl w:ilvl="0" w:tplc="FD844174">
      <w:start w:val="1"/>
      <w:numFmt w:val="bullet"/>
      <w:lvlText w:val="-"/>
      <w:lvlJc w:val="left"/>
      <w:pPr>
        <w:tabs>
          <w:tab w:val="num" w:pos="720"/>
        </w:tabs>
        <w:ind w:left="720" w:hanging="360"/>
      </w:pPr>
      <w:rPr>
        <w:rFonts w:ascii="Times New Roman" w:hAnsi="Times New Roman" w:hint="default"/>
      </w:rPr>
    </w:lvl>
    <w:lvl w:ilvl="1" w:tplc="67464492" w:tentative="1">
      <w:start w:val="1"/>
      <w:numFmt w:val="bullet"/>
      <w:lvlText w:val="-"/>
      <w:lvlJc w:val="left"/>
      <w:pPr>
        <w:tabs>
          <w:tab w:val="num" w:pos="1440"/>
        </w:tabs>
        <w:ind w:left="1440" w:hanging="360"/>
      </w:pPr>
      <w:rPr>
        <w:rFonts w:ascii="Times New Roman" w:hAnsi="Times New Roman" w:hint="default"/>
      </w:rPr>
    </w:lvl>
    <w:lvl w:ilvl="2" w:tplc="F03259DE" w:tentative="1">
      <w:start w:val="1"/>
      <w:numFmt w:val="bullet"/>
      <w:lvlText w:val="-"/>
      <w:lvlJc w:val="left"/>
      <w:pPr>
        <w:tabs>
          <w:tab w:val="num" w:pos="2160"/>
        </w:tabs>
        <w:ind w:left="2160" w:hanging="360"/>
      </w:pPr>
      <w:rPr>
        <w:rFonts w:ascii="Times New Roman" w:hAnsi="Times New Roman" w:hint="default"/>
      </w:rPr>
    </w:lvl>
    <w:lvl w:ilvl="3" w:tplc="3522A670" w:tentative="1">
      <w:start w:val="1"/>
      <w:numFmt w:val="bullet"/>
      <w:lvlText w:val="-"/>
      <w:lvlJc w:val="left"/>
      <w:pPr>
        <w:tabs>
          <w:tab w:val="num" w:pos="2880"/>
        </w:tabs>
        <w:ind w:left="2880" w:hanging="360"/>
      </w:pPr>
      <w:rPr>
        <w:rFonts w:ascii="Times New Roman" w:hAnsi="Times New Roman" w:hint="default"/>
      </w:rPr>
    </w:lvl>
    <w:lvl w:ilvl="4" w:tplc="B4B2BB88" w:tentative="1">
      <w:start w:val="1"/>
      <w:numFmt w:val="bullet"/>
      <w:lvlText w:val="-"/>
      <w:lvlJc w:val="left"/>
      <w:pPr>
        <w:tabs>
          <w:tab w:val="num" w:pos="3600"/>
        </w:tabs>
        <w:ind w:left="3600" w:hanging="360"/>
      </w:pPr>
      <w:rPr>
        <w:rFonts w:ascii="Times New Roman" w:hAnsi="Times New Roman" w:hint="default"/>
      </w:rPr>
    </w:lvl>
    <w:lvl w:ilvl="5" w:tplc="F9746776" w:tentative="1">
      <w:start w:val="1"/>
      <w:numFmt w:val="bullet"/>
      <w:lvlText w:val="-"/>
      <w:lvlJc w:val="left"/>
      <w:pPr>
        <w:tabs>
          <w:tab w:val="num" w:pos="4320"/>
        </w:tabs>
        <w:ind w:left="4320" w:hanging="360"/>
      </w:pPr>
      <w:rPr>
        <w:rFonts w:ascii="Times New Roman" w:hAnsi="Times New Roman" w:hint="default"/>
      </w:rPr>
    </w:lvl>
    <w:lvl w:ilvl="6" w:tplc="9DC6204A" w:tentative="1">
      <w:start w:val="1"/>
      <w:numFmt w:val="bullet"/>
      <w:lvlText w:val="-"/>
      <w:lvlJc w:val="left"/>
      <w:pPr>
        <w:tabs>
          <w:tab w:val="num" w:pos="5040"/>
        </w:tabs>
        <w:ind w:left="5040" w:hanging="360"/>
      </w:pPr>
      <w:rPr>
        <w:rFonts w:ascii="Times New Roman" w:hAnsi="Times New Roman" w:hint="default"/>
      </w:rPr>
    </w:lvl>
    <w:lvl w:ilvl="7" w:tplc="24CAAC0C" w:tentative="1">
      <w:start w:val="1"/>
      <w:numFmt w:val="bullet"/>
      <w:lvlText w:val="-"/>
      <w:lvlJc w:val="left"/>
      <w:pPr>
        <w:tabs>
          <w:tab w:val="num" w:pos="5760"/>
        </w:tabs>
        <w:ind w:left="5760" w:hanging="360"/>
      </w:pPr>
      <w:rPr>
        <w:rFonts w:ascii="Times New Roman" w:hAnsi="Times New Roman" w:hint="default"/>
      </w:rPr>
    </w:lvl>
    <w:lvl w:ilvl="8" w:tplc="EC98413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4FC2F10"/>
    <w:multiLevelType w:val="hybridMultilevel"/>
    <w:tmpl w:val="7C22AC0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870D90"/>
    <w:multiLevelType w:val="hybridMultilevel"/>
    <w:tmpl w:val="FCCA59B0"/>
    <w:lvl w:ilvl="0" w:tplc="6A68A988">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6E0F13"/>
    <w:multiLevelType w:val="hybridMultilevel"/>
    <w:tmpl w:val="F024563A"/>
    <w:lvl w:ilvl="0" w:tplc="040C000F">
      <w:start w:val="1"/>
      <w:numFmt w:val="decimal"/>
      <w:lvlText w:val="%1."/>
      <w:lvlJc w:val="left"/>
      <w:pPr>
        <w:ind w:left="718" w:hanging="360"/>
      </w:pPr>
    </w:lvl>
    <w:lvl w:ilvl="1" w:tplc="040C0019" w:tentative="1">
      <w:start w:val="1"/>
      <w:numFmt w:val="lowerLetter"/>
      <w:lvlText w:val="%2."/>
      <w:lvlJc w:val="left"/>
      <w:pPr>
        <w:ind w:left="1438" w:hanging="360"/>
      </w:pPr>
    </w:lvl>
    <w:lvl w:ilvl="2" w:tplc="040C001B" w:tentative="1">
      <w:start w:val="1"/>
      <w:numFmt w:val="lowerRoman"/>
      <w:lvlText w:val="%3."/>
      <w:lvlJc w:val="right"/>
      <w:pPr>
        <w:ind w:left="2158" w:hanging="180"/>
      </w:pPr>
    </w:lvl>
    <w:lvl w:ilvl="3" w:tplc="040C000F" w:tentative="1">
      <w:start w:val="1"/>
      <w:numFmt w:val="decimal"/>
      <w:lvlText w:val="%4."/>
      <w:lvlJc w:val="left"/>
      <w:pPr>
        <w:ind w:left="2878" w:hanging="360"/>
      </w:pPr>
    </w:lvl>
    <w:lvl w:ilvl="4" w:tplc="040C0019" w:tentative="1">
      <w:start w:val="1"/>
      <w:numFmt w:val="lowerLetter"/>
      <w:lvlText w:val="%5."/>
      <w:lvlJc w:val="left"/>
      <w:pPr>
        <w:ind w:left="3598" w:hanging="360"/>
      </w:pPr>
    </w:lvl>
    <w:lvl w:ilvl="5" w:tplc="040C001B" w:tentative="1">
      <w:start w:val="1"/>
      <w:numFmt w:val="lowerRoman"/>
      <w:lvlText w:val="%6."/>
      <w:lvlJc w:val="right"/>
      <w:pPr>
        <w:ind w:left="4318" w:hanging="180"/>
      </w:pPr>
    </w:lvl>
    <w:lvl w:ilvl="6" w:tplc="040C000F" w:tentative="1">
      <w:start w:val="1"/>
      <w:numFmt w:val="decimal"/>
      <w:lvlText w:val="%7."/>
      <w:lvlJc w:val="left"/>
      <w:pPr>
        <w:ind w:left="5038" w:hanging="360"/>
      </w:pPr>
    </w:lvl>
    <w:lvl w:ilvl="7" w:tplc="040C0019" w:tentative="1">
      <w:start w:val="1"/>
      <w:numFmt w:val="lowerLetter"/>
      <w:lvlText w:val="%8."/>
      <w:lvlJc w:val="left"/>
      <w:pPr>
        <w:ind w:left="5758" w:hanging="360"/>
      </w:pPr>
    </w:lvl>
    <w:lvl w:ilvl="8" w:tplc="040C001B" w:tentative="1">
      <w:start w:val="1"/>
      <w:numFmt w:val="lowerRoman"/>
      <w:lvlText w:val="%9."/>
      <w:lvlJc w:val="right"/>
      <w:pPr>
        <w:ind w:left="6478" w:hanging="180"/>
      </w:pPr>
    </w:lvl>
  </w:abstractNum>
  <w:abstractNum w:abstractNumId="12" w15:restartNumberingAfterBreak="0">
    <w:nsid w:val="19AB6F69"/>
    <w:multiLevelType w:val="hybridMultilevel"/>
    <w:tmpl w:val="7DD83F04"/>
    <w:lvl w:ilvl="0" w:tplc="6B06665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5F0E1D"/>
    <w:multiLevelType w:val="hybridMultilevel"/>
    <w:tmpl w:val="52D4F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5E2B08"/>
    <w:multiLevelType w:val="hybridMultilevel"/>
    <w:tmpl w:val="23DE79BC"/>
    <w:lvl w:ilvl="0" w:tplc="A1F26952">
      <w:start w:val="1"/>
      <w:numFmt w:val="bullet"/>
      <w:lvlText w:val="•"/>
      <w:lvlJc w:val="left"/>
      <w:pPr>
        <w:tabs>
          <w:tab w:val="num" w:pos="720"/>
        </w:tabs>
        <w:ind w:left="720" w:hanging="360"/>
      </w:pPr>
      <w:rPr>
        <w:rFonts w:ascii="Arial" w:hAnsi="Arial" w:hint="default"/>
      </w:rPr>
    </w:lvl>
    <w:lvl w:ilvl="1" w:tplc="D278D5D6" w:tentative="1">
      <w:start w:val="1"/>
      <w:numFmt w:val="bullet"/>
      <w:lvlText w:val="•"/>
      <w:lvlJc w:val="left"/>
      <w:pPr>
        <w:tabs>
          <w:tab w:val="num" w:pos="1440"/>
        </w:tabs>
        <w:ind w:left="1440" w:hanging="360"/>
      </w:pPr>
      <w:rPr>
        <w:rFonts w:ascii="Arial" w:hAnsi="Arial" w:hint="default"/>
      </w:rPr>
    </w:lvl>
    <w:lvl w:ilvl="2" w:tplc="EC3AEB20" w:tentative="1">
      <w:start w:val="1"/>
      <w:numFmt w:val="bullet"/>
      <w:lvlText w:val="•"/>
      <w:lvlJc w:val="left"/>
      <w:pPr>
        <w:tabs>
          <w:tab w:val="num" w:pos="2160"/>
        </w:tabs>
        <w:ind w:left="2160" w:hanging="360"/>
      </w:pPr>
      <w:rPr>
        <w:rFonts w:ascii="Arial" w:hAnsi="Arial" w:hint="default"/>
      </w:rPr>
    </w:lvl>
    <w:lvl w:ilvl="3" w:tplc="E9A61108" w:tentative="1">
      <w:start w:val="1"/>
      <w:numFmt w:val="bullet"/>
      <w:lvlText w:val="•"/>
      <w:lvlJc w:val="left"/>
      <w:pPr>
        <w:tabs>
          <w:tab w:val="num" w:pos="2880"/>
        </w:tabs>
        <w:ind w:left="2880" w:hanging="360"/>
      </w:pPr>
      <w:rPr>
        <w:rFonts w:ascii="Arial" w:hAnsi="Arial" w:hint="default"/>
      </w:rPr>
    </w:lvl>
    <w:lvl w:ilvl="4" w:tplc="B428E75A" w:tentative="1">
      <w:start w:val="1"/>
      <w:numFmt w:val="bullet"/>
      <w:lvlText w:val="•"/>
      <w:lvlJc w:val="left"/>
      <w:pPr>
        <w:tabs>
          <w:tab w:val="num" w:pos="3600"/>
        </w:tabs>
        <w:ind w:left="3600" w:hanging="360"/>
      </w:pPr>
      <w:rPr>
        <w:rFonts w:ascii="Arial" w:hAnsi="Arial" w:hint="default"/>
      </w:rPr>
    </w:lvl>
    <w:lvl w:ilvl="5" w:tplc="2236D812" w:tentative="1">
      <w:start w:val="1"/>
      <w:numFmt w:val="bullet"/>
      <w:lvlText w:val="•"/>
      <w:lvlJc w:val="left"/>
      <w:pPr>
        <w:tabs>
          <w:tab w:val="num" w:pos="4320"/>
        </w:tabs>
        <w:ind w:left="4320" w:hanging="360"/>
      </w:pPr>
      <w:rPr>
        <w:rFonts w:ascii="Arial" w:hAnsi="Arial" w:hint="default"/>
      </w:rPr>
    </w:lvl>
    <w:lvl w:ilvl="6" w:tplc="A436142E" w:tentative="1">
      <w:start w:val="1"/>
      <w:numFmt w:val="bullet"/>
      <w:lvlText w:val="•"/>
      <w:lvlJc w:val="left"/>
      <w:pPr>
        <w:tabs>
          <w:tab w:val="num" w:pos="5040"/>
        </w:tabs>
        <w:ind w:left="5040" w:hanging="360"/>
      </w:pPr>
      <w:rPr>
        <w:rFonts w:ascii="Arial" w:hAnsi="Arial" w:hint="default"/>
      </w:rPr>
    </w:lvl>
    <w:lvl w:ilvl="7" w:tplc="95FC4DE4" w:tentative="1">
      <w:start w:val="1"/>
      <w:numFmt w:val="bullet"/>
      <w:lvlText w:val="•"/>
      <w:lvlJc w:val="left"/>
      <w:pPr>
        <w:tabs>
          <w:tab w:val="num" w:pos="5760"/>
        </w:tabs>
        <w:ind w:left="5760" w:hanging="360"/>
      </w:pPr>
      <w:rPr>
        <w:rFonts w:ascii="Arial" w:hAnsi="Arial" w:hint="default"/>
      </w:rPr>
    </w:lvl>
    <w:lvl w:ilvl="8" w:tplc="886E67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BF0577"/>
    <w:multiLevelType w:val="hybridMultilevel"/>
    <w:tmpl w:val="CF5EC8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29AF6513"/>
    <w:multiLevelType w:val="hybridMultilevel"/>
    <w:tmpl w:val="1AA80AA8"/>
    <w:lvl w:ilvl="0" w:tplc="9D7400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111BDD"/>
    <w:multiLevelType w:val="hybridMultilevel"/>
    <w:tmpl w:val="733EB112"/>
    <w:lvl w:ilvl="0" w:tplc="A65A7194">
      <w:numFmt w:val="bullet"/>
      <w:lvlText w:val="-"/>
      <w:lvlJc w:val="left"/>
      <w:pPr>
        <w:ind w:left="1326" w:hanging="360"/>
      </w:pPr>
      <w:rPr>
        <w:rFonts w:ascii="Arial" w:eastAsiaTheme="minorHAnsi" w:hAnsi="Arial" w:cs="Arial" w:hint="default"/>
      </w:rPr>
    </w:lvl>
    <w:lvl w:ilvl="1" w:tplc="040C0001">
      <w:start w:val="1"/>
      <w:numFmt w:val="bullet"/>
      <w:lvlText w:val=""/>
      <w:lvlJc w:val="left"/>
      <w:pPr>
        <w:ind w:left="2046" w:hanging="360"/>
      </w:pPr>
      <w:rPr>
        <w:rFonts w:ascii="Symbol" w:hAnsi="Symbol" w:hint="default"/>
      </w:rPr>
    </w:lvl>
    <w:lvl w:ilvl="2" w:tplc="040C0005">
      <w:start w:val="1"/>
      <w:numFmt w:val="bullet"/>
      <w:lvlText w:val=""/>
      <w:lvlJc w:val="left"/>
      <w:pPr>
        <w:ind w:left="2766" w:hanging="360"/>
      </w:pPr>
      <w:rPr>
        <w:rFonts w:ascii="Wingdings" w:hAnsi="Wingdings" w:hint="default"/>
      </w:rPr>
    </w:lvl>
    <w:lvl w:ilvl="3" w:tplc="040C0001">
      <w:start w:val="1"/>
      <w:numFmt w:val="bullet"/>
      <w:lvlText w:val=""/>
      <w:lvlJc w:val="left"/>
      <w:pPr>
        <w:ind w:left="3486" w:hanging="360"/>
      </w:pPr>
      <w:rPr>
        <w:rFonts w:ascii="Symbol" w:hAnsi="Symbol" w:hint="default"/>
      </w:rPr>
    </w:lvl>
    <w:lvl w:ilvl="4" w:tplc="040C0003">
      <w:start w:val="1"/>
      <w:numFmt w:val="bullet"/>
      <w:lvlText w:val="o"/>
      <w:lvlJc w:val="left"/>
      <w:pPr>
        <w:ind w:left="4206" w:hanging="360"/>
      </w:pPr>
      <w:rPr>
        <w:rFonts w:ascii="Courier New" w:hAnsi="Courier New" w:cs="Courier New" w:hint="default"/>
      </w:rPr>
    </w:lvl>
    <w:lvl w:ilvl="5" w:tplc="040C0005">
      <w:start w:val="1"/>
      <w:numFmt w:val="bullet"/>
      <w:lvlText w:val=""/>
      <w:lvlJc w:val="left"/>
      <w:pPr>
        <w:ind w:left="4926" w:hanging="360"/>
      </w:pPr>
      <w:rPr>
        <w:rFonts w:ascii="Wingdings" w:hAnsi="Wingdings" w:hint="default"/>
      </w:rPr>
    </w:lvl>
    <w:lvl w:ilvl="6" w:tplc="040C0001">
      <w:start w:val="1"/>
      <w:numFmt w:val="bullet"/>
      <w:lvlText w:val=""/>
      <w:lvlJc w:val="left"/>
      <w:pPr>
        <w:ind w:left="5646" w:hanging="360"/>
      </w:pPr>
      <w:rPr>
        <w:rFonts w:ascii="Symbol" w:hAnsi="Symbol" w:hint="default"/>
      </w:rPr>
    </w:lvl>
    <w:lvl w:ilvl="7" w:tplc="040C0003">
      <w:start w:val="1"/>
      <w:numFmt w:val="bullet"/>
      <w:lvlText w:val="o"/>
      <w:lvlJc w:val="left"/>
      <w:pPr>
        <w:ind w:left="6366" w:hanging="360"/>
      </w:pPr>
      <w:rPr>
        <w:rFonts w:ascii="Courier New" w:hAnsi="Courier New" w:cs="Courier New" w:hint="default"/>
      </w:rPr>
    </w:lvl>
    <w:lvl w:ilvl="8" w:tplc="040C0005">
      <w:start w:val="1"/>
      <w:numFmt w:val="bullet"/>
      <w:lvlText w:val=""/>
      <w:lvlJc w:val="left"/>
      <w:pPr>
        <w:ind w:left="7086" w:hanging="360"/>
      </w:pPr>
      <w:rPr>
        <w:rFonts w:ascii="Wingdings" w:hAnsi="Wingdings" w:hint="default"/>
      </w:rPr>
    </w:lvl>
  </w:abstractNum>
  <w:abstractNum w:abstractNumId="18" w15:restartNumberingAfterBreak="0">
    <w:nsid w:val="2AFD6DB9"/>
    <w:multiLevelType w:val="hybridMultilevel"/>
    <w:tmpl w:val="4212079A"/>
    <w:lvl w:ilvl="0" w:tplc="6A68A988">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D3E66AA"/>
    <w:multiLevelType w:val="multilevel"/>
    <w:tmpl w:val="FFEA4ED4"/>
    <w:lvl w:ilvl="0">
      <w:start w:val="1"/>
      <w:numFmt w:val="bullet"/>
      <w:lvlText w:val=""/>
      <w:lvlJc w:val="left"/>
      <w:pPr>
        <w:ind w:left="1068" w:hanging="360"/>
      </w:pPr>
      <w:rPr>
        <w:rFonts w:ascii="Symbol" w:hAnsi="Symbol" w:hint="default"/>
        <w:vertAlign w:val="baseline"/>
      </w:rPr>
    </w:lvl>
    <w:lvl w:ilvl="1">
      <w:start w:val="1"/>
      <w:numFmt w:val="bullet"/>
      <w:pStyle w:val="Titre2"/>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Symbols" w:eastAsia="Noto Sans Symbols" w:hAnsi="Noto Sans Symbols" w:cs="Noto Sans Symbols"/>
        <w:vertAlign w:val="baseline"/>
      </w:rPr>
    </w:lvl>
    <w:lvl w:ilvl="3">
      <w:start w:val="1"/>
      <w:numFmt w:val="bullet"/>
      <w:lvlText w:val="●"/>
      <w:lvlJc w:val="left"/>
      <w:pPr>
        <w:ind w:left="3228" w:hanging="360"/>
      </w:pPr>
      <w:rPr>
        <w:rFonts w:ascii="Noto Sans Symbols" w:eastAsia="Noto Sans Symbols" w:hAnsi="Noto Sans Symbols" w:cs="Noto Sans Symbol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Symbols" w:eastAsia="Noto Sans Symbols" w:hAnsi="Noto Sans Symbols" w:cs="Noto Sans Symbols"/>
        <w:vertAlign w:val="baseline"/>
      </w:rPr>
    </w:lvl>
    <w:lvl w:ilvl="6">
      <w:start w:val="1"/>
      <w:numFmt w:val="bullet"/>
      <w:lvlText w:val="●"/>
      <w:lvlJc w:val="left"/>
      <w:pPr>
        <w:ind w:left="5388" w:hanging="360"/>
      </w:pPr>
      <w:rPr>
        <w:rFonts w:ascii="Noto Sans Symbols" w:eastAsia="Noto Sans Symbols" w:hAnsi="Noto Sans Symbols" w:cs="Noto Sans Symbol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Symbols" w:eastAsia="Noto Sans Symbols" w:hAnsi="Noto Sans Symbols" w:cs="Noto Sans Symbols"/>
        <w:vertAlign w:val="baseline"/>
      </w:rPr>
    </w:lvl>
  </w:abstractNum>
  <w:abstractNum w:abstractNumId="20" w15:restartNumberingAfterBreak="0">
    <w:nsid w:val="30654335"/>
    <w:multiLevelType w:val="hybridMultilevel"/>
    <w:tmpl w:val="2D2EBD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1EA21BE"/>
    <w:multiLevelType w:val="hybridMultilevel"/>
    <w:tmpl w:val="2C0C39AC"/>
    <w:lvl w:ilvl="0" w:tplc="63AEA944">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2B50B03"/>
    <w:multiLevelType w:val="multilevel"/>
    <w:tmpl w:val="228808C6"/>
    <w:lvl w:ilvl="0">
      <w:start w:val="1"/>
      <w:numFmt w:val="bullet"/>
      <w:lvlText w:val=""/>
      <w:lvlJc w:val="left"/>
      <w:pPr>
        <w:ind w:left="1068" w:hanging="360"/>
      </w:pPr>
      <w:rPr>
        <w:rFonts w:ascii="Symbol" w:hAnsi="Symbol" w:hint="default"/>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Symbols" w:eastAsia="Noto Sans Symbols" w:hAnsi="Noto Sans Symbols" w:cs="Noto Sans Symbols"/>
        <w:vertAlign w:val="baseline"/>
      </w:rPr>
    </w:lvl>
    <w:lvl w:ilvl="3">
      <w:start w:val="1"/>
      <w:numFmt w:val="bullet"/>
      <w:lvlText w:val="●"/>
      <w:lvlJc w:val="left"/>
      <w:pPr>
        <w:ind w:left="3228" w:hanging="360"/>
      </w:pPr>
      <w:rPr>
        <w:rFonts w:ascii="Noto Sans Symbols" w:eastAsia="Noto Sans Symbols" w:hAnsi="Noto Sans Symbols" w:cs="Noto Sans Symbol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Symbols" w:eastAsia="Noto Sans Symbols" w:hAnsi="Noto Sans Symbols" w:cs="Noto Sans Symbols"/>
        <w:vertAlign w:val="baseline"/>
      </w:rPr>
    </w:lvl>
    <w:lvl w:ilvl="6">
      <w:start w:val="1"/>
      <w:numFmt w:val="bullet"/>
      <w:lvlText w:val="●"/>
      <w:lvlJc w:val="left"/>
      <w:pPr>
        <w:ind w:left="5388" w:hanging="360"/>
      </w:pPr>
      <w:rPr>
        <w:rFonts w:ascii="Noto Sans Symbols" w:eastAsia="Noto Sans Symbols" w:hAnsi="Noto Sans Symbols" w:cs="Noto Sans Symbol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Symbols" w:eastAsia="Noto Sans Symbols" w:hAnsi="Noto Sans Symbols" w:cs="Noto Sans Symbols"/>
        <w:vertAlign w:val="baseline"/>
      </w:rPr>
    </w:lvl>
  </w:abstractNum>
  <w:abstractNum w:abstractNumId="23" w15:restartNumberingAfterBreak="0">
    <w:nsid w:val="3E093299"/>
    <w:multiLevelType w:val="hybridMultilevel"/>
    <w:tmpl w:val="86A6F898"/>
    <w:lvl w:ilvl="0" w:tplc="0C06B746">
      <w:start w:val="1"/>
      <w:numFmt w:val="low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3E4E658A"/>
    <w:multiLevelType w:val="multilevel"/>
    <w:tmpl w:val="654814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46735CB2"/>
    <w:multiLevelType w:val="hybridMultilevel"/>
    <w:tmpl w:val="A9246428"/>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26" w15:restartNumberingAfterBreak="0">
    <w:nsid w:val="471C4E2F"/>
    <w:multiLevelType w:val="hybridMultilevel"/>
    <w:tmpl w:val="61CE7588"/>
    <w:lvl w:ilvl="0" w:tplc="6FEADE24">
      <w:start w:val="1"/>
      <w:numFmt w:val="bullet"/>
      <w:lvlText w:val=""/>
      <w:lvlJc w:val="left"/>
      <w:pPr>
        <w:tabs>
          <w:tab w:val="num" w:pos="720"/>
        </w:tabs>
        <w:ind w:left="720" w:hanging="360"/>
      </w:pPr>
      <w:rPr>
        <w:rFonts w:ascii="Wingdings" w:hAnsi="Wingdings" w:hint="default"/>
      </w:rPr>
    </w:lvl>
    <w:lvl w:ilvl="1" w:tplc="BF8281F0" w:tentative="1">
      <w:start w:val="1"/>
      <w:numFmt w:val="bullet"/>
      <w:lvlText w:val=""/>
      <w:lvlJc w:val="left"/>
      <w:pPr>
        <w:tabs>
          <w:tab w:val="num" w:pos="1440"/>
        </w:tabs>
        <w:ind w:left="1440" w:hanging="360"/>
      </w:pPr>
      <w:rPr>
        <w:rFonts w:ascii="Wingdings" w:hAnsi="Wingdings" w:hint="default"/>
      </w:rPr>
    </w:lvl>
    <w:lvl w:ilvl="2" w:tplc="34B8088C" w:tentative="1">
      <w:start w:val="1"/>
      <w:numFmt w:val="bullet"/>
      <w:lvlText w:val=""/>
      <w:lvlJc w:val="left"/>
      <w:pPr>
        <w:tabs>
          <w:tab w:val="num" w:pos="2160"/>
        </w:tabs>
        <w:ind w:left="2160" w:hanging="360"/>
      </w:pPr>
      <w:rPr>
        <w:rFonts w:ascii="Wingdings" w:hAnsi="Wingdings" w:hint="default"/>
      </w:rPr>
    </w:lvl>
    <w:lvl w:ilvl="3" w:tplc="42E6C45E" w:tentative="1">
      <w:start w:val="1"/>
      <w:numFmt w:val="bullet"/>
      <w:lvlText w:val=""/>
      <w:lvlJc w:val="left"/>
      <w:pPr>
        <w:tabs>
          <w:tab w:val="num" w:pos="2880"/>
        </w:tabs>
        <w:ind w:left="2880" w:hanging="360"/>
      </w:pPr>
      <w:rPr>
        <w:rFonts w:ascii="Wingdings" w:hAnsi="Wingdings" w:hint="default"/>
      </w:rPr>
    </w:lvl>
    <w:lvl w:ilvl="4" w:tplc="EF682B3C" w:tentative="1">
      <w:start w:val="1"/>
      <w:numFmt w:val="bullet"/>
      <w:lvlText w:val=""/>
      <w:lvlJc w:val="left"/>
      <w:pPr>
        <w:tabs>
          <w:tab w:val="num" w:pos="3600"/>
        </w:tabs>
        <w:ind w:left="3600" w:hanging="360"/>
      </w:pPr>
      <w:rPr>
        <w:rFonts w:ascii="Wingdings" w:hAnsi="Wingdings" w:hint="default"/>
      </w:rPr>
    </w:lvl>
    <w:lvl w:ilvl="5" w:tplc="EF38B7DE" w:tentative="1">
      <w:start w:val="1"/>
      <w:numFmt w:val="bullet"/>
      <w:lvlText w:val=""/>
      <w:lvlJc w:val="left"/>
      <w:pPr>
        <w:tabs>
          <w:tab w:val="num" w:pos="4320"/>
        </w:tabs>
        <w:ind w:left="4320" w:hanging="360"/>
      </w:pPr>
      <w:rPr>
        <w:rFonts w:ascii="Wingdings" w:hAnsi="Wingdings" w:hint="default"/>
      </w:rPr>
    </w:lvl>
    <w:lvl w:ilvl="6" w:tplc="523E63AA" w:tentative="1">
      <w:start w:val="1"/>
      <w:numFmt w:val="bullet"/>
      <w:lvlText w:val=""/>
      <w:lvlJc w:val="left"/>
      <w:pPr>
        <w:tabs>
          <w:tab w:val="num" w:pos="5040"/>
        </w:tabs>
        <w:ind w:left="5040" w:hanging="360"/>
      </w:pPr>
      <w:rPr>
        <w:rFonts w:ascii="Wingdings" w:hAnsi="Wingdings" w:hint="default"/>
      </w:rPr>
    </w:lvl>
    <w:lvl w:ilvl="7" w:tplc="CC86B94A" w:tentative="1">
      <w:start w:val="1"/>
      <w:numFmt w:val="bullet"/>
      <w:lvlText w:val=""/>
      <w:lvlJc w:val="left"/>
      <w:pPr>
        <w:tabs>
          <w:tab w:val="num" w:pos="5760"/>
        </w:tabs>
        <w:ind w:left="5760" w:hanging="360"/>
      </w:pPr>
      <w:rPr>
        <w:rFonts w:ascii="Wingdings" w:hAnsi="Wingdings" w:hint="default"/>
      </w:rPr>
    </w:lvl>
    <w:lvl w:ilvl="8" w:tplc="CD6A08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F204CC"/>
    <w:multiLevelType w:val="hybridMultilevel"/>
    <w:tmpl w:val="7264C5E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B2B776B"/>
    <w:multiLevelType w:val="hybridMultilevel"/>
    <w:tmpl w:val="DF04284C"/>
    <w:lvl w:ilvl="0" w:tplc="E4DC8FF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A2145E"/>
    <w:multiLevelType w:val="hybridMultilevel"/>
    <w:tmpl w:val="1AE637D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0B20E10"/>
    <w:multiLevelType w:val="hybridMultilevel"/>
    <w:tmpl w:val="75A00F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0FD5343"/>
    <w:multiLevelType w:val="hybridMultilevel"/>
    <w:tmpl w:val="CB7A7C9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D83249"/>
    <w:multiLevelType w:val="hybridMultilevel"/>
    <w:tmpl w:val="803C038C"/>
    <w:lvl w:ilvl="0" w:tplc="22A0E01C">
      <w:numFmt w:val="bullet"/>
      <w:lvlText w:val="-"/>
      <w:lvlJc w:val="left"/>
      <w:pPr>
        <w:tabs>
          <w:tab w:val="num" w:pos="1068"/>
        </w:tabs>
        <w:ind w:left="1068" w:hanging="360"/>
      </w:pPr>
      <w:rPr>
        <w:rFonts w:ascii="Arial" w:eastAsia="Times New Roman" w:hAnsi="Arial" w:cs="Aria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554C7D02"/>
    <w:multiLevelType w:val="hybridMultilevel"/>
    <w:tmpl w:val="37087EAA"/>
    <w:lvl w:ilvl="0" w:tplc="040C0001">
      <w:start w:val="1"/>
      <w:numFmt w:val="bullet"/>
      <w:lvlText w:val=""/>
      <w:lvlJc w:val="left"/>
      <w:pPr>
        <w:ind w:left="1484" w:hanging="360"/>
      </w:pPr>
      <w:rPr>
        <w:rFonts w:ascii="Symbol" w:hAnsi="Symbol" w:hint="default"/>
      </w:rPr>
    </w:lvl>
    <w:lvl w:ilvl="1" w:tplc="040C0003" w:tentative="1">
      <w:start w:val="1"/>
      <w:numFmt w:val="bullet"/>
      <w:lvlText w:val="o"/>
      <w:lvlJc w:val="left"/>
      <w:pPr>
        <w:ind w:left="2204" w:hanging="360"/>
      </w:pPr>
      <w:rPr>
        <w:rFonts w:ascii="Courier New" w:hAnsi="Courier New" w:cs="Courier New" w:hint="default"/>
      </w:rPr>
    </w:lvl>
    <w:lvl w:ilvl="2" w:tplc="040C0005" w:tentative="1">
      <w:start w:val="1"/>
      <w:numFmt w:val="bullet"/>
      <w:lvlText w:val=""/>
      <w:lvlJc w:val="left"/>
      <w:pPr>
        <w:ind w:left="2924" w:hanging="360"/>
      </w:pPr>
      <w:rPr>
        <w:rFonts w:ascii="Wingdings" w:hAnsi="Wingdings" w:hint="default"/>
      </w:rPr>
    </w:lvl>
    <w:lvl w:ilvl="3" w:tplc="040C0001" w:tentative="1">
      <w:start w:val="1"/>
      <w:numFmt w:val="bullet"/>
      <w:lvlText w:val=""/>
      <w:lvlJc w:val="left"/>
      <w:pPr>
        <w:ind w:left="3644" w:hanging="360"/>
      </w:pPr>
      <w:rPr>
        <w:rFonts w:ascii="Symbol" w:hAnsi="Symbol" w:hint="default"/>
      </w:rPr>
    </w:lvl>
    <w:lvl w:ilvl="4" w:tplc="040C0003" w:tentative="1">
      <w:start w:val="1"/>
      <w:numFmt w:val="bullet"/>
      <w:lvlText w:val="o"/>
      <w:lvlJc w:val="left"/>
      <w:pPr>
        <w:ind w:left="4364" w:hanging="360"/>
      </w:pPr>
      <w:rPr>
        <w:rFonts w:ascii="Courier New" w:hAnsi="Courier New" w:cs="Courier New" w:hint="default"/>
      </w:rPr>
    </w:lvl>
    <w:lvl w:ilvl="5" w:tplc="040C0005" w:tentative="1">
      <w:start w:val="1"/>
      <w:numFmt w:val="bullet"/>
      <w:lvlText w:val=""/>
      <w:lvlJc w:val="left"/>
      <w:pPr>
        <w:ind w:left="5084" w:hanging="360"/>
      </w:pPr>
      <w:rPr>
        <w:rFonts w:ascii="Wingdings" w:hAnsi="Wingdings" w:hint="default"/>
      </w:rPr>
    </w:lvl>
    <w:lvl w:ilvl="6" w:tplc="040C0001" w:tentative="1">
      <w:start w:val="1"/>
      <w:numFmt w:val="bullet"/>
      <w:lvlText w:val=""/>
      <w:lvlJc w:val="left"/>
      <w:pPr>
        <w:ind w:left="5804" w:hanging="360"/>
      </w:pPr>
      <w:rPr>
        <w:rFonts w:ascii="Symbol" w:hAnsi="Symbol" w:hint="default"/>
      </w:rPr>
    </w:lvl>
    <w:lvl w:ilvl="7" w:tplc="040C0003" w:tentative="1">
      <w:start w:val="1"/>
      <w:numFmt w:val="bullet"/>
      <w:lvlText w:val="o"/>
      <w:lvlJc w:val="left"/>
      <w:pPr>
        <w:ind w:left="6524" w:hanging="360"/>
      </w:pPr>
      <w:rPr>
        <w:rFonts w:ascii="Courier New" w:hAnsi="Courier New" w:cs="Courier New" w:hint="default"/>
      </w:rPr>
    </w:lvl>
    <w:lvl w:ilvl="8" w:tplc="040C0005" w:tentative="1">
      <w:start w:val="1"/>
      <w:numFmt w:val="bullet"/>
      <w:lvlText w:val=""/>
      <w:lvlJc w:val="left"/>
      <w:pPr>
        <w:ind w:left="7244" w:hanging="360"/>
      </w:pPr>
      <w:rPr>
        <w:rFonts w:ascii="Wingdings" w:hAnsi="Wingdings" w:hint="default"/>
      </w:rPr>
    </w:lvl>
  </w:abstractNum>
  <w:abstractNum w:abstractNumId="34" w15:restartNumberingAfterBreak="0">
    <w:nsid w:val="5B923DF0"/>
    <w:multiLevelType w:val="multilevel"/>
    <w:tmpl w:val="9EDE31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 w15:restartNumberingAfterBreak="0">
    <w:nsid w:val="5BD841C5"/>
    <w:multiLevelType w:val="hybridMultilevel"/>
    <w:tmpl w:val="D466F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E5956C3"/>
    <w:multiLevelType w:val="hybridMultilevel"/>
    <w:tmpl w:val="675A3F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5F742279"/>
    <w:multiLevelType w:val="hybridMultilevel"/>
    <w:tmpl w:val="73C848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616948FF"/>
    <w:multiLevelType w:val="hybridMultilevel"/>
    <w:tmpl w:val="62D647A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9" w15:restartNumberingAfterBreak="0">
    <w:nsid w:val="632C50B5"/>
    <w:multiLevelType w:val="hybridMultilevel"/>
    <w:tmpl w:val="100619F4"/>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40" w15:restartNumberingAfterBreak="0">
    <w:nsid w:val="65472D87"/>
    <w:multiLevelType w:val="hybridMultilevel"/>
    <w:tmpl w:val="B68A49D4"/>
    <w:lvl w:ilvl="0" w:tplc="040C000F">
      <w:start w:val="1"/>
      <w:numFmt w:val="decimal"/>
      <w:lvlText w:val="%1."/>
      <w:lvlJc w:val="left"/>
      <w:pPr>
        <w:ind w:left="718" w:hanging="360"/>
      </w:pPr>
    </w:lvl>
    <w:lvl w:ilvl="1" w:tplc="040C0019" w:tentative="1">
      <w:start w:val="1"/>
      <w:numFmt w:val="lowerLetter"/>
      <w:lvlText w:val="%2."/>
      <w:lvlJc w:val="left"/>
      <w:pPr>
        <w:ind w:left="1438" w:hanging="360"/>
      </w:pPr>
    </w:lvl>
    <w:lvl w:ilvl="2" w:tplc="040C001B" w:tentative="1">
      <w:start w:val="1"/>
      <w:numFmt w:val="lowerRoman"/>
      <w:lvlText w:val="%3."/>
      <w:lvlJc w:val="right"/>
      <w:pPr>
        <w:ind w:left="2158" w:hanging="180"/>
      </w:pPr>
    </w:lvl>
    <w:lvl w:ilvl="3" w:tplc="040C000F" w:tentative="1">
      <w:start w:val="1"/>
      <w:numFmt w:val="decimal"/>
      <w:lvlText w:val="%4."/>
      <w:lvlJc w:val="left"/>
      <w:pPr>
        <w:ind w:left="2878" w:hanging="360"/>
      </w:pPr>
    </w:lvl>
    <w:lvl w:ilvl="4" w:tplc="040C0019" w:tentative="1">
      <w:start w:val="1"/>
      <w:numFmt w:val="lowerLetter"/>
      <w:lvlText w:val="%5."/>
      <w:lvlJc w:val="left"/>
      <w:pPr>
        <w:ind w:left="3598" w:hanging="360"/>
      </w:pPr>
    </w:lvl>
    <w:lvl w:ilvl="5" w:tplc="040C001B" w:tentative="1">
      <w:start w:val="1"/>
      <w:numFmt w:val="lowerRoman"/>
      <w:lvlText w:val="%6."/>
      <w:lvlJc w:val="right"/>
      <w:pPr>
        <w:ind w:left="4318" w:hanging="180"/>
      </w:pPr>
    </w:lvl>
    <w:lvl w:ilvl="6" w:tplc="040C000F" w:tentative="1">
      <w:start w:val="1"/>
      <w:numFmt w:val="decimal"/>
      <w:lvlText w:val="%7."/>
      <w:lvlJc w:val="left"/>
      <w:pPr>
        <w:ind w:left="5038" w:hanging="360"/>
      </w:pPr>
    </w:lvl>
    <w:lvl w:ilvl="7" w:tplc="040C0019" w:tentative="1">
      <w:start w:val="1"/>
      <w:numFmt w:val="lowerLetter"/>
      <w:lvlText w:val="%8."/>
      <w:lvlJc w:val="left"/>
      <w:pPr>
        <w:ind w:left="5758" w:hanging="360"/>
      </w:pPr>
    </w:lvl>
    <w:lvl w:ilvl="8" w:tplc="040C001B" w:tentative="1">
      <w:start w:val="1"/>
      <w:numFmt w:val="lowerRoman"/>
      <w:lvlText w:val="%9."/>
      <w:lvlJc w:val="right"/>
      <w:pPr>
        <w:ind w:left="6478" w:hanging="180"/>
      </w:pPr>
    </w:lvl>
  </w:abstractNum>
  <w:abstractNum w:abstractNumId="41" w15:restartNumberingAfterBreak="0">
    <w:nsid w:val="65472DE2"/>
    <w:multiLevelType w:val="hybridMultilevel"/>
    <w:tmpl w:val="E3F6DAE0"/>
    <w:lvl w:ilvl="0" w:tplc="040C0001">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42" w15:restartNumberingAfterBreak="0">
    <w:nsid w:val="65A111D2"/>
    <w:multiLevelType w:val="hybridMultilevel"/>
    <w:tmpl w:val="A1B2A52C"/>
    <w:lvl w:ilvl="0" w:tplc="D47C530C">
      <w:start w:val="1"/>
      <w:numFmt w:val="lowerLetter"/>
      <w:pStyle w:val="Titre3-OFT"/>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BB26732"/>
    <w:multiLevelType w:val="multilevel"/>
    <w:tmpl w:val="8466D864"/>
    <w:lvl w:ilvl="0">
      <w:numFmt w:val="bullet"/>
      <w:lvlText w:val="-"/>
      <w:lvlJc w:val="left"/>
      <w:pPr>
        <w:ind w:left="360" w:hanging="360"/>
      </w:pPr>
      <w:rPr>
        <w:rFonts w:ascii="Arial" w:eastAsia="Arial" w:hAnsi="Arial" w:cs="Arial"/>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44" w15:restartNumberingAfterBreak="0">
    <w:nsid w:val="6F904974"/>
    <w:multiLevelType w:val="hybridMultilevel"/>
    <w:tmpl w:val="1B2A8B64"/>
    <w:lvl w:ilvl="0" w:tplc="52C82FDA">
      <w:start w:val="2"/>
      <w:numFmt w:val="decimal"/>
      <w:lvlText w:val="%1."/>
      <w:lvlJc w:val="left"/>
      <w:pPr>
        <w:ind w:left="720" w:hanging="360"/>
      </w:pPr>
      <w:rPr>
        <w:rFonts w:hint="default"/>
        <w:b/>
        <w:i w:val="0"/>
        <w:color w:val="auto"/>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28E09E3"/>
    <w:multiLevelType w:val="hybridMultilevel"/>
    <w:tmpl w:val="D4EE39F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15:restartNumberingAfterBreak="0">
    <w:nsid w:val="73752950"/>
    <w:multiLevelType w:val="hybridMultilevel"/>
    <w:tmpl w:val="2AC87E70"/>
    <w:lvl w:ilvl="0" w:tplc="6C8CB43E">
      <w:start w:val="1"/>
      <w:numFmt w:val="lowerRoman"/>
      <w:lvlText w:val="%1)"/>
      <w:lvlJc w:val="left"/>
      <w:pPr>
        <w:ind w:left="1434" w:hanging="720"/>
      </w:pPr>
      <w:rPr>
        <w:rFonts w:hint="default"/>
      </w:rPr>
    </w:lvl>
    <w:lvl w:ilvl="1" w:tplc="040C0019" w:tentative="1">
      <w:start w:val="1"/>
      <w:numFmt w:val="lowerLetter"/>
      <w:lvlText w:val="%2."/>
      <w:lvlJc w:val="left"/>
      <w:pPr>
        <w:ind w:left="1794" w:hanging="360"/>
      </w:pPr>
    </w:lvl>
    <w:lvl w:ilvl="2" w:tplc="040C001B" w:tentative="1">
      <w:start w:val="1"/>
      <w:numFmt w:val="lowerRoman"/>
      <w:lvlText w:val="%3."/>
      <w:lvlJc w:val="right"/>
      <w:pPr>
        <w:ind w:left="2514" w:hanging="180"/>
      </w:pPr>
    </w:lvl>
    <w:lvl w:ilvl="3" w:tplc="040C000F" w:tentative="1">
      <w:start w:val="1"/>
      <w:numFmt w:val="decimal"/>
      <w:lvlText w:val="%4."/>
      <w:lvlJc w:val="left"/>
      <w:pPr>
        <w:ind w:left="3234" w:hanging="360"/>
      </w:pPr>
    </w:lvl>
    <w:lvl w:ilvl="4" w:tplc="040C0019" w:tentative="1">
      <w:start w:val="1"/>
      <w:numFmt w:val="lowerLetter"/>
      <w:lvlText w:val="%5."/>
      <w:lvlJc w:val="left"/>
      <w:pPr>
        <w:ind w:left="3954" w:hanging="360"/>
      </w:pPr>
    </w:lvl>
    <w:lvl w:ilvl="5" w:tplc="040C001B" w:tentative="1">
      <w:start w:val="1"/>
      <w:numFmt w:val="lowerRoman"/>
      <w:lvlText w:val="%6."/>
      <w:lvlJc w:val="right"/>
      <w:pPr>
        <w:ind w:left="4674" w:hanging="180"/>
      </w:pPr>
    </w:lvl>
    <w:lvl w:ilvl="6" w:tplc="040C000F" w:tentative="1">
      <w:start w:val="1"/>
      <w:numFmt w:val="decimal"/>
      <w:lvlText w:val="%7."/>
      <w:lvlJc w:val="left"/>
      <w:pPr>
        <w:ind w:left="5394" w:hanging="360"/>
      </w:pPr>
    </w:lvl>
    <w:lvl w:ilvl="7" w:tplc="040C0019" w:tentative="1">
      <w:start w:val="1"/>
      <w:numFmt w:val="lowerLetter"/>
      <w:lvlText w:val="%8."/>
      <w:lvlJc w:val="left"/>
      <w:pPr>
        <w:ind w:left="6114" w:hanging="360"/>
      </w:pPr>
    </w:lvl>
    <w:lvl w:ilvl="8" w:tplc="040C001B" w:tentative="1">
      <w:start w:val="1"/>
      <w:numFmt w:val="lowerRoman"/>
      <w:lvlText w:val="%9."/>
      <w:lvlJc w:val="right"/>
      <w:pPr>
        <w:ind w:left="6834" w:hanging="180"/>
      </w:pPr>
    </w:lvl>
  </w:abstractNum>
  <w:abstractNum w:abstractNumId="47" w15:restartNumberingAfterBreak="0">
    <w:nsid w:val="742324CB"/>
    <w:multiLevelType w:val="hybridMultilevel"/>
    <w:tmpl w:val="7F707104"/>
    <w:lvl w:ilvl="0" w:tplc="1402FA5E">
      <w:start w:val="1"/>
      <w:numFmt w:val="bullet"/>
      <w:lvlText w:val=""/>
      <w:lvlJc w:val="left"/>
      <w:pPr>
        <w:tabs>
          <w:tab w:val="num" w:pos="720"/>
        </w:tabs>
        <w:ind w:left="720" w:hanging="360"/>
      </w:pPr>
      <w:rPr>
        <w:rFonts w:ascii="Wingdings" w:hAnsi="Wingdings" w:hint="default"/>
      </w:rPr>
    </w:lvl>
    <w:lvl w:ilvl="1" w:tplc="71C4D962" w:tentative="1">
      <w:start w:val="1"/>
      <w:numFmt w:val="bullet"/>
      <w:lvlText w:val=""/>
      <w:lvlJc w:val="left"/>
      <w:pPr>
        <w:tabs>
          <w:tab w:val="num" w:pos="1440"/>
        </w:tabs>
        <w:ind w:left="1440" w:hanging="360"/>
      </w:pPr>
      <w:rPr>
        <w:rFonts w:ascii="Wingdings" w:hAnsi="Wingdings" w:hint="default"/>
      </w:rPr>
    </w:lvl>
    <w:lvl w:ilvl="2" w:tplc="063460A8" w:tentative="1">
      <w:start w:val="1"/>
      <w:numFmt w:val="bullet"/>
      <w:lvlText w:val=""/>
      <w:lvlJc w:val="left"/>
      <w:pPr>
        <w:tabs>
          <w:tab w:val="num" w:pos="2160"/>
        </w:tabs>
        <w:ind w:left="2160" w:hanging="360"/>
      </w:pPr>
      <w:rPr>
        <w:rFonts w:ascii="Wingdings" w:hAnsi="Wingdings" w:hint="default"/>
      </w:rPr>
    </w:lvl>
    <w:lvl w:ilvl="3" w:tplc="97B45BAA" w:tentative="1">
      <w:start w:val="1"/>
      <w:numFmt w:val="bullet"/>
      <w:lvlText w:val=""/>
      <w:lvlJc w:val="left"/>
      <w:pPr>
        <w:tabs>
          <w:tab w:val="num" w:pos="2880"/>
        </w:tabs>
        <w:ind w:left="2880" w:hanging="360"/>
      </w:pPr>
      <w:rPr>
        <w:rFonts w:ascii="Wingdings" w:hAnsi="Wingdings" w:hint="default"/>
      </w:rPr>
    </w:lvl>
    <w:lvl w:ilvl="4" w:tplc="136EBEF6" w:tentative="1">
      <w:start w:val="1"/>
      <w:numFmt w:val="bullet"/>
      <w:lvlText w:val=""/>
      <w:lvlJc w:val="left"/>
      <w:pPr>
        <w:tabs>
          <w:tab w:val="num" w:pos="3600"/>
        </w:tabs>
        <w:ind w:left="3600" w:hanging="360"/>
      </w:pPr>
      <w:rPr>
        <w:rFonts w:ascii="Wingdings" w:hAnsi="Wingdings" w:hint="default"/>
      </w:rPr>
    </w:lvl>
    <w:lvl w:ilvl="5" w:tplc="5B8455D6" w:tentative="1">
      <w:start w:val="1"/>
      <w:numFmt w:val="bullet"/>
      <w:lvlText w:val=""/>
      <w:lvlJc w:val="left"/>
      <w:pPr>
        <w:tabs>
          <w:tab w:val="num" w:pos="4320"/>
        </w:tabs>
        <w:ind w:left="4320" w:hanging="360"/>
      </w:pPr>
      <w:rPr>
        <w:rFonts w:ascii="Wingdings" w:hAnsi="Wingdings" w:hint="default"/>
      </w:rPr>
    </w:lvl>
    <w:lvl w:ilvl="6" w:tplc="81EC9FC0" w:tentative="1">
      <w:start w:val="1"/>
      <w:numFmt w:val="bullet"/>
      <w:lvlText w:val=""/>
      <w:lvlJc w:val="left"/>
      <w:pPr>
        <w:tabs>
          <w:tab w:val="num" w:pos="5040"/>
        </w:tabs>
        <w:ind w:left="5040" w:hanging="360"/>
      </w:pPr>
      <w:rPr>
        <w:rFonts w:ascii="Wingdings" w:hAnsi="Wingdings" w:hint="default"/>
      </w:rPr>
    </w:lvl>
    <w:lvl w:ilvl="7" w:tplc="1F6CF240" w:tentative="1">
      <w:start w:val="1"/>
      <w:numFmt w:val="bullet"/>
      <w:lvlText w:val=""/>
      <w:lvlJc w:val="left"/>
      <w:pPr>
        <w:tabs>
          <w:tab w:val="num" w:pos="5760"/>
        </w:tabs>
        <w:ind w:left="5760" w:hanging="360"/>
      </w:pPr>
      <w:rPr>
        <w:rFonts w:ascii="Wingdings" w:hAnsi="Wingdings" w:hint="default"/>
      </w:rPr>
    </w:lvl>
    <w:lvl w:ilvl="8" w:tplc="1142864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851AAF"/>
    <w:multiLevelType w:val="hybridMultilevel"/>
    <w:tmpl w:val="9EEAF542"/>
    <w:lvl w:ilvl="0" w:tplc="8F40117E">
      <w:start w:val="1"/>
      <w:numFmt w:val="bullet"/>
      <w:lvlText w:val=""/>
      <w:lvlJc w:val="left"/>
      <w:pPr>
        <w:tabs>
          <w:tab w:val="num" w:pos="720"/>
        </w:tabs>
        <w:ind w:left="720" w:hanging="360"/>
      </w:pPr>
      <w:rPr>
        <w:rFonts w:ascii="Wingdings" w:hAnsi="Wingdings" w:hint="default"/>
      </w:rPr>
    </w:lvl>
    <w:lvl w:ilvl="1" w:tplc="90A0CABE" w:tentative="1">
      <w:start w:val="1"/>
      <w:numFmt w:val="bullet"/>
      <w:lvlText w:val=""/>
      <w:lvlJc w:val="left"/>
      <w:pPr>
        <w:tabs>
          <w:tab w:val="num" w:pos="1440"/>
        </w:tabs>
        <w:ind w:left="1440" w:hanging="360"/>
      </w:pPr>
      <w:rPr>
        <w:rFonts w:ascii="Wingdings" w:hAnsi="Wingdings" w:hint="default"/>
      </w:rPr>
    </w:lvl>
    <w:lvl w:ilvl="2" w:tplc="88DE4C4C" w:tentative="1">
      <w:start w:val="1"/>
      <w:numFmt w:val="bullet"/>
      <w:lvlText w:val=""/>
      <w:lvlJc w:val="left"/>
      <w:pPr>
        <w:tabs>
          <w:tab w:val="num" w:pos="2160"/>
        </w:tabs>
        <w:ind w:left="2160" w:hanging="360"/>
      </w:pPr>
      <w:rPr>
        <w:rFonts w:ascii="Wingdings" w:hAnsi="Wingdings" w:hint="default"/>
      </w:rPr>
    </w:lvl>
    <w:lvl w:ilvl="3" w:tplc="5E9E6914" w:tentative="1">
      <w:start w:val="1"/>
      <w:numFmt w:val="bullet"/>
      <w:lvlText w:val=""/>
      <w:lvlJc w:val="left"/>
      <w:pPr>
        <w:tabs>
          <w:tab w:val="num" w:pos="2880"/>
        </w:tabs>
        <w:ind w:left="2880" w:hanging="360"/>
      </w:pPr>
      <w:rPr>
        <w:rFonts w:ascii="Wingdings" w:hAnsi="Wingdings" w:hint="default"/>
      </w:rPr>
    </w:lvl>
    <w:lvl w:ilvl="4" w:tplc="82BC061E" w:tentative="1">
      <w:start w:val="1"/>
      <w:numFmt w:val="bullet"/>
      <w:lvlText w:val=""/>
      <w:lvlJc w:val="left"/>
      <w:pPr>
        <w:tabs>
          <w:tab w:val="num" w:pos="3600"/>
        </w:tabs>
        <w:ind w:left="3600" w:hanging="360"/>
      </w:pPr>
      <w:rPr>
        <w:rFonts w:ascii="Wingdings" w:hAnsi="Wingdings" w:hint="default"/>
      </w:rPr>
    </w:lvl>
    <w:lvl w:ilvl="5" w:tplc="EDE04FAE" w:tentative="1">
      <w:start w:val="1"/>
      <w:numFmt w:val="bullet"/>
      <w:lvlText w:val=""/>
      <w:lvlJc w:val="left"/>
      <w:pPr>
        <w:tabs>
          <w:tab w:val="num" w:pos="4320"/>
        </w:tabs>
        <w:ind w:left="4320" w:hanging="360"/>
      </w:pPr>
      <w:rPr>
        <w:rFonts w:ascii="Wingdings" w:hAnsi="Wingdings" w:hint="default"/>
      </w:rPr>
    </w:lvl>
    <w:lvl w:ilvl="6" w:tplc="1B1079C4" w:tentative="1">
      <w:start w:val="1"/>
      <w:numFmt w:val="bullet"/>
      <w:lvlText w:val=""/>
      <w:lvlJc w:val="left"/>
      <w:pPr>
        <w:tabs>
          <w:tab w:val="num" w:pos="5040"/>
        </w:tabs>
        <w:ind w:left="5040" w:hanging="360"/>
      </w:pPr>
      <w:rPr>
        <w:rFonts w:ascii="Wingdings" w:hAnsi="Wingdings" w:hint="default"/>
      </w:rPr>
    </w:lvl>
    <w:lvl w:ilvl="7" w:tplc="D7DE127C" w:tentative="1">
      <w:start w:val="1"/>
      <w:numFmt w:val="bullet"/>
      <w:lvlText w:val=""/>
      <w:lvlJc w:val="left"/>
      <w:pPr>
        <w:tabs>
          <w:tab w:val="num" w:pos="5760"/>
        </w:tabs>
        <w:ind w:left="5760" w:hanging="360"/>
      </w:pPr>
      <w:rPr>
        <w:rFonts w:ascii="Wingdings" w:hAnsi="Wingdings" w:hint="default"/>
      </w:rPr>
    </w:lvl>
    <w:lvl w:ilvl="8" w:tplc="5EC4F73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59116A"/>
    <w:multiLevelType w:val="multilevel"/>
    <w:tmpl w:val="62525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1E73CD"/>
    <w:multiLevelType w:val="hybridMultilevel"/>
    <w:tmpl w:val="66D0A2CE"/>
    <w:lvl w:ilvl="0" w:tplc="84B4568A">
      <w:start w:val="1"/>
      <w:numFmt w:val="decimal"/>
      <w:lvlText w:val="%1)"/>
      <w:lvlJc w:val="left"/>
      <w:pPr>
        <w:ind w:left="358" w:hanging="360"/>
      </w:pPr>
      <w:rPr>
        <w:rFonts w:hint="default"/>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51" w15:restartNumberingAfterBreak="0">
    <w:nsid w:val="7B497EF0"/>
    <w:multiLevelType w:val="hybridMultilevel"/>
    <w:tmpl w:val="2490FBB0"/>
    <w:lvl w:ilvl="0" w:tplc="42DC863A">
      <w:start w:val="1"/>
      <w:numFmt w:val="bullet"/>
      <w:lvlText w:val=""/>
      <w:lvlJc w:val="left"/>
      <w:pPr>
        <w:tabs>
          <w:tab w:val="num" w:pos="720"/>
        </w:tabs>
        <w:ind w:left="720" w:hanging="360"/>
      </w:pPr>
      <w:rPr>
        <w:rFonts w:ascii="Wingdings" w:hAnsi="Wingdings" w:hint="default"/>
      </w:rPr>
    </w:lvl>
    <w:lvl w:ilvl="1" w:tplc="CBF4C554" w:tentative="1">
      <w:start w:val="1"/>
      <w:numFmt w:val="bullet"/>
      <w:lvlText w:val=""/>
      <w:lvlJc w:val="left"/>
      <w:pPr>
        <w:tabs>
          <w:tab w:val="num" w:pos="1440"/>
        </w:tabs>
        <w:ind w:left="1440" w:hanging="360"/>
      </w:pPr>
      <w:rPr>
        <w:rFonts w:ascii="Wingdings" w:hAnsi="Wingdings" w:hint="default"/>
      </w:rPr>
    </w:lvl>
    <w:lvl w:ilvl="2" w:tplc="DA86D714" w:tentative="1">
      <w:start w:val="1"/>
      <w:numFmt w:val="bullet"/>
      <w:lvlText w:val=""/>
      <w:lvlJc w:val="left"/>
      <w:pPr>
        <w:tabs>
          <w:tab w:val="num" w:pos="2160"/>
        </w:tabs>
        <w:ind w:left="2160" w:hanging="360"/>
      </w:pPr>
      <w:rPr>
        <w:rFonts w:ascii="Wingdings" w:hAnsi="Wingdings" w:hint="default"/>
      </w:rPr>
    </w:lvl>
    <w:lvl w:ilvl="3" w:tplc="AFC0FB4A" w:tentative="1">
      <w:start w:val="1"/>
      <w:numFmt w:val="bullet"/>
      <w:lvlText w:val=""/>
      <w:lvlJc w:val="left"/>
      <w:pPr>
        <w:tabs>
          <w:tab w:val="num" w:pos="2880"/>
        </w:tabs>
        <w:ind w:left="2880" w:hanging="360"/>
      </w:pPr>
      <w:rPr>
        <w:rFonts w:ascii="Wingdings" w:hAnsi="Wingdings" w:hint="default"/>
      </w:rPr>
    </w:lvl>
    <w:lvl w:ilvl="4" w:tplc="C876DF9E" w:tentative="1">
      <w:start w:val="1"/>
      <w:numFmt w:val="bullet"/>
      <w:lvlText w:val=""/>
      <w:lvlJc w:val="left"/>
      <w:pPr>
        <w:tabs>
          <w:tab w:val="num" w:pos="3600"/>
        </w:tabs>
        <w:ind w:left="3600" w:hanging="360"/>
      </w:pPr>
      <w:rPr>
        <w:rFonts w:ascii="Wingdings" w:hAnsi="Wingdings" w:hint="default"/>
      </w:rPr>
    </w:lvl>
    <w:lvl w:ilvl="5" w:tplc="62166AFA" w:tentative="1">
      <w:start w:val="1"/>
      <w:numFmt w:val="bullet"/>
      <w:lvlText w:val=""/>
      <w:lvlJc w:val="left"/>
      <w:pPr>
        <w:tabs>
          <w:tab w:val="num" w:pos="4320"/>
        </w:tabs>
        <w:ind w:left="4320" w:hanging="360"/>
      </w:pPr>
      <w:rPr>
        <w:rFonts w:ascii="Wingdings" w:hAnsi="Wingdings" w:hint="default"/>
      </w:rPr>
    </w:lvl>
    <w:lvl w:ilvl="6" w:tplc="50FC2DD8" w:tentative="1">
      <w:start w:val="1"/>
      <w:numFmt w:val="bullet"/>
      <w:lvlText w:val=""/>
      <w:lvlJc w:val="left"/>
      <w:pPr>
        <w:tabs>
          <w:tab w:val="num" w:pos="5040"/>
        </w:tabs>
        <w:ind w:left="5040" w:hanging="360"/>
      </w:pPr>
      <w:rPr>
        <w:rFonts w:ascii="Wingdings" w:hAnsi="Wingdings" w:hint="default"/>
      </w:rPr>
    </w:lvl>
    <w:lvl w:ilvl="7" w:tplc="40BA9F00" w:tentative="1">
      <w:start w:val="1"/>
      <w:numFmt w:val="bullet"/>
      <w:lvlText w:val=""/>
      <w:lvlJc w:val="left"/>
      <w:pPr>
        <w:tabs>
          <w:tab w:val="num" w:pos="5760"/>
        </w:tabs>
        <w:ind w:left="5760" w:hanging="360"/>
      </w:pPr>
      <w:rPr>
        <w:rFonts w:ascii="Wingdings" w:hAnsi="Wingdings" w:hint="default"/>
      </w:rPr>
    </w:lvl>
    <w:lvl w:ilvl="8" w:tplc="39DC06A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9B24B7"/>
    <w:multiLevelType w:val="multilevel"/>
    <w:tmpl w:val="4ED0FA2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 w15:restartNumberingAfterBreak="0">
    <w:nsid w:val="7D480C1E"/>
    <w:multiLevelType w:val="multilevel"/>
    <w:tmpl w:val="16E0CC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15:restartNumberingAfterBreak="0">
    <w:nsid w:val="7FF10528"/>
    <w:multiLevelType w:val="hybridMultilevel"/>
    <w:tmpl w:val="E30E4F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7823623">
    <w:abstractNumId w:val="18"/>
  </w:num>
  <w:num w:numId="2" w16cid:durableId="1121612922">
    <w:abstractNumId w:val="5"/>
  </w:num>
  <w:num w:numId="3" w16cid:durableId="1475173272">
    <w:abstractNumId w:val="12"/>
  </w:num>
  <w:num w:numId="4" w16cid:durableId="1349525754">
    <w:abstractNumId w:val="41"/>
  </w:num>
  <w:num w:numId="5" w16cid:durableId="301473048">
    <w:abstractNumId w:val="33"/>
  </w:num>
  <w:num w:numId="6" w16cid:durableId="257754431">
    <w:abstractNumId w:val="38"/>
  </w:num>
  <w:num w:numId="7" w16cid:durableId="73016872">
    <w:abstractNumId w:val="10"/>
  </w:num>
  <w:num w:numId="8" w16cid:durableId="485172988">
    <w:abstractNumId w:val="20"/>
  </w:num>
  <w:num w:numId="9" w16cid:durableId="2001352008">
    <w:abstractNumId w:val="42"/>
  </w:num>
  <w:num w:numId="10" w16cid:durableId="1725643380">
    <w:abstractNumId w:val="0"/>
  </w:num>
  <w:num w:numId="11" w16cid:durableId="205684057">
    <w:abstractNumId w:val="29"/>
  </w:num>
  <w:num w:numId="12" w16cid:durableId="729965919">
    <w:abstractNumId w:val="27"/>
  </w:num>
  <w:num w:numId="13" w16cid:durableId="1595748252">
    <w:abstractNumId w:val="4"/>
  </w:num>
  <w:num w:numId="14" w16cid:durableId="1019041393">
    <w:abstractNumId w:val="9"/>
  </w:num>
  <w:num w:numId="15" w16cid:durableId="1285388070">
    <w:abstractNumId w:val="5"/>
  </w:num>
  <w:num w:numId="16" w16cid:durableId="230309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1381049">
    <w:abstractNumId w:val="7"/>
  </w:num>
  <w:num w:numId="18" w16cid:durableId="1004473819">
    <w:abstractNumId w:val="17"/>
  </w:num>
  <w:num w:numId="19" w16cid:durableId="2110200941">
    <w:abstractNumId w:val="6"/>
  </w:num>
  <w:num w:numId="20" w16cid:durableId="3460594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2600483">
    <w:abstractNumId w:val="34"/>
  </w:num>
  <w:num w:numId="22" w16cid:durableId="536509992">
    <w:abstractNumId w:val="19"/>
  </w:num>
  <w:num w:numId="23" w16cid:durableId="853418739">
    <w:abstractNumId w:val="43"/>
  </w:num>
  <w:num w:numId="24" w16cid:durableId="1520700362">
    <w:abstractNumId w:val="53"/>
  </w:num>
  <w:num w:numId="25" w16cid:durableId="963389552">
    <w:abstractNumId w:val="24"/>
  </w:num>
  <w:num w:numId="26" w16cid:durableId="24017393">
    <w:abstractNumId w:val="52"/>
  </w:num>
  <w:num w:numId="27" w16cid:durableId="1162239120">
    <w:abstractNumId w:val="21"/>
  </w:num>
  <w:num w:numId="28" w16cid:durableId="1664239663">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4091895">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4882001">
    <w:abstractNumId w:val="19"/>
  </w:num>
  <w:num w:numId="31" w16cid:durableId="1521240788">
    <w:abstractNumId w:val="11"/>
  </w:num>
  <w:num w:numId="32" w16cid:durableId="1504781676">
    <w:abstractNumId w:val="40"/>
  </w:num>
  <w:num w:numId="33" w16cid:durableId="444203823">
    <w:abstractNumId w:val="3"/>
  </w:num>
  <w:num w:numId="34" w16cid:durableId="119155785">
    <w:abstractNumId w:val="16"/>
  </w:num>
  <w:num w:numId="35" w16cid:durableId="904872069">
    <w:abstractNumId w:val="32"/>
  </w:num>
  <w:num w:numId="36" w16cid:durableId="858935082">
    <w:abstractNumId w:val="15"/>
  </w:num>
  <w:num w:numId="37" w16cid:durableId="1131829162">
    <w:abstractNumId w:val="37"/>
  </w:num>
  <w:num w:numId="38" w16cid:durableId="1935164031">
    <w:abstractNumId w:val="36"/>
  </w:num>
  <w:num w:numId="39" w16cid:durableId="417755347">
    <w:abstractNumId w:val="45"/>
  </w:num>
  <w:num w:numId="40" w16cid:durableId="24328143">
    <w:abstractNumId w:val="8"/>
  </w:num>
  <w:num w:numId="41" w16cid:durableId="371267019">
    <w:abstractNumId w:val="14"/>
  </w:num>
  <w:num w:numId="42" w16cid:durableId="1992637741">
    <w:abstractNumId w:val="48"/>
  </w:num>
  <w:num w:numId="43" w16cid:durableId="91705330">
    <w:abstractNumId w:val="51"/>
  </w:num>
  <w:num w:numId="44" w16cid:durableId="2119790547">
    <w:abstractNumId w:val="26"/>
  </w:num>
  <w:num w:numId="45" w16cid:durableId="1435249848">
    <w:abstractNumId w:val="47"/>
  </w:num>
  <w:num w:numId="46" w16cid:durableId="1173957483">
    <w:abstractNumId w:val="39"/>
  </w:num>
  <w:num w:numId="47" w16cid:durableId="1944147310">
    <w:abstractNumId w:val="22"/>
  </w:num>
  <w:num w:numId="48" w16cid:durableId="1133213150">
    <w:abstractNumId w:val="50"/>
  </w:num>
  <w:num w:numId="49" w16cid:durableId="2017463738">
    <w:abstractNumId w:val="25"/>
  </w:num>
  <w:num w:numId="50" w16cid:durableId="9130788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92330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20525631">
    <w:abstractNumId w:val="28"/>
  </w:num>
  <w:num w:numId="53" w16cid:durableId="1726876347">
    <w:abstractNumId w:val="44"/>
  </w:num>
  <w:num w:numId="54" w16cid:durableId="1365985162">
    <w:abstractNumId w:val="46"/>
  </w:num>
  <w:num w:numId="55" w16cid:durableId="1057168930">
    <w:abstractNumId w:val="2"/>
  </w:num>
  <w:num w:numId="56" w16cid:durableId="212545353">
    <w:abstractNumId w:val="1"/>
  </w:num>
  <w:num w:numId="57" w16cid:durableId="1436712809">
    <w:abstractNumId w:val="30"/>
  </w:num>
  <w:num w:numId="58" w16cid:durableId="744381130">
    <w:abstractNumId w:val="54"/>
  </w:num>
  <w:num w:numId="59" w16cid:durableId="665522557">
    <w:abstractNumId w:val="35"/>
  </w:num>
  <w:num w:numId="60" w16cid:durableId="899906404">
    <w:abstractNumId w:val="13"/>
  </w:num>
  <w:num w:numId="61" w16cid:durableId="210966928">
    <w:abstractNumId w:val="31"/>
  </w:num>
  <w:num w:numId="62" w16cid:durableId="137503361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ABF"/>
    <w:rsid w:val="00000817"/>
    <w:rsid w:val="00005BD4"/>
    <w:rsid w:val="00011A05"/>
    <w:rsid w:val="00016203"/>
    <w:rsid w:val="00055794"/>
    <w:rsid w:val="00071846"/>
    <w:rsid w:val="00077524"/>
    <w:rsid w:val="00081E11"/>
    <w:rsid w:val="00082B71"/>
    <w:rsid w:val="000C052E"/>
    <w:rsid w:val="000E1C07"/>
    <w:rsid w:val="000E61D4"/>
    <w:rsid w:val="000F0589"/>
    <w:rsid w:val="00106B49"/>
    <w:rsid w:val="001110BA"/>
    <w:rsid w:val="00140C13"/>
    <w:rsid w:val="001460F2"/>
    <w:rsid w:val="0015069A"/>
    <w:rsid w:val="001532DD"/>
    <w:rsid w:val="0016639C"/>
    <w:rsid w:val="001F21C4"/>
    <w:rsid w:val="001F3754"/>
    <w:rsid w:val="00201079"/>
    <w:rsid w:val="0020206C"/>
    <w:rsid w:val="002108BA"/>
    <w:rsid w:val="0022555B"/>
    <w:rsid w:val="002348C5"/>
    <w:rsid w:val="00242298"/>
    <w:rsid w:val="00263857"/>
    <w:rsid w:val="00283517"/>
    <w:rsid w:val="002B6B90"/>
    <w:rsid w:val="002C6392"/>
    <w:rsid w:val="002D2797"/>
    <w:rsid w:val="002F71B1"/>
    <w:rsid w:val="00341D17"/>
    <w:rsid w:val="00346CD3"/>
    <w:rsid w:val="003517FF"/>
    <w:rsid w:val="003533CF"/>
    <w:rsid w:val="00367E32"/>
    <w:rsid w:val="003770A3"/>
    <w:rsid w:val="00380F33"/>
    <w:rsid w:val="0038106A"/>
    <w:rsid w:val="003A3CE3"/>
    <w:rsid w:val="003E442B"/>
    <w:rsid w:val="00417DBE"/>
    <w:rsid w:val="004214EF"/>
    <w:rsid w:val="0043498C"/>
    <w:rsid w:val="00452B8F"/>
    <w:rsid w:val="004869DA"/>
    <w:rsid w:val="00486B84"/>
    <w:rsid w:val="00487489"/>
    <w:rsid w:val="00494AD5"/>
    <w:rsid w:val="004B51C5"/>
    <w:rsid w:val="004C60C2"/>
    <w:rsid w:val="004E58A2"/>
    <w:rsid w:val="00506739"/>
    <w:rsid w:val="0051673F"/>
    <w:rsid w:val="0053439A"/>
    <w:rsid w:val="005347A5"/>
    <w:rsid w:val="00546D0C"/>
    <w:rsid w:val="00551721"/>
    <w:rsid w:val="00585F62"/>
    <w:rsid w:val="0060231B"/>
    <w:rsid w:val="00642DF2"/>
    <w:rsid w:val="0064541B"/>
    <w:rsid w:val="00645767"/>
    <w:rsid w:val="00661FE8"/>
    <w:rsid w:val="00662668"/>
    <w:rsid w:val="00676879"/>
    <w:rsid w:val="00684081"/>
    <w:rsid w:val="006945CF"/>
    <w:rsid w:val="006A23EB"/>
    <w:rsid w:val="006B6A23"/>
    <w:rsid w:val="006D4A41"/>
    <w:rsid w:val="006E25E5"/>
    <w:rsid w:val="00725C8A"/>
    <w:rsid w:val="00732396"/>
    <w:rsid w:val="00732B5C"/>
    <w:rsid w:val="007401FA"/>
    <w:rsid w:val="00773699"/>
    <w:rsid w:val="007B5EF1"/>
    <w:rsid w:val="007C63CF"/>
    <w:rsid w:val="007C72CC"/>
    <w:rsid w:val="007E5E39"/>
    <w:rsid w:val="007E749D"/>
    <w:rsid w:val="007F1E4B"/>
    <w:rsid w:val="00815878"/>
    <w:rsid w:val="00826DC5"/>
    <w:rsid w:val="00831ABF"/>
    <w:rsid w:val="008364D1"/>
    <w:rsid w:val="0084402D"/>
    <w:rsid w:val="008551F2"/>
    <w:rsid w:val="00892F50"/>
    <w:rsid w:val="008A538F"/>
    <w:rsid w:val="008D017A"/>
    <w:rsid w:val="008F2A92"/>
    <w:rsid w:val="00913249"/>
    <w:rsid w:val="00927807"/>
    <w:rsid w:val="009320C1"/>
    <w:rsid w:val="009375BE"/>
    <w:rsid w:val="00955649"/>
    <w:rsid w:val="00980608"/>
    <w:rsid w:val="0098402B"/>
    <w:rsid w:val="00984115"/>
    <w:rsid w:val="00986AEE"/>
    <w:rsid w:val="00993162"/>
    <w:rsid w:val="009C155D"/>
    <w:rsid w:val="009C19A5"/>
    <w:rsid w:val="009C772D"/>
    <w:rsid w:val="00A22B0F"/>
    <w:rsid w:val="00A2500E"/>
    <w:rsid w:val="00A64ACE"/>
    <w:rsid w:val="00A84A38"/>
    <w:rsid w:val="00A854A3"/>
    <w:rsid w:val="00AA0BB3"/>
    <w:rsid w:val="00AA31F2"/>
    <w:rsid w:val="00AB4C16"/>
    <w:rsid w:val="00AD2CE9"/>
    <w:rsid w:val="00AE1B57"/>
    <w:rsid w:val="00AF27C0"/>
    <w:rsid w:val="00B14851"/>
    <w:rsid w:val="00B626DD"/>
    <w:rsid w:val="00B66F8E"/>
    <w:rsid w:val="00B85B8A"/>
    <w:rsid w:val="00BB278E"/>
    <w:rsid w:val="00BD26E1"/>
    <w:rsid w:val="00BE2DB5"/>
    <w:rsid w:val="00BF0241"/>
    <w:rsid w:val="00BF24A7"/>
    <w:rsid w:val="00C027CD"/>
    <w:rsid w:val="00C05B7D"/>
    <w:rsid w:val="00C203F9"/>
    <w:rsid w:val="00C34DF5"/>
    <w:rsid w:val="00C3755B"/>
    <w:rsid w:val="00C540C3"/>
    <w:rsid w:val="00C715C6"/>
    <w:rsid w:val="00C92586"/>
    <w:rsid w:val="00CA6F4B"/>
    <w:rsid w:val="00CB2F40"/>
    <w:rsid w:val="00CC34F7"/>
    <w:rsid w:val="00CE1822"/>
    <w:rsid w:val="00D30EB2"/>
    <w:rsid w:val="00D366CA"/>
    <w:rsid w:val="00D50601"/>
    <w:rsid w:val="00D86ABF"/>
    <w:rsid w:val="00DC2A62"/>
    <w:rsid w:val="00DC31D6"/>
    <w:rsid w:val="00DC62BB"/>
    <w:rsid w:val="00E1365A"/>
    <w:rsid w:val="00E17BF3"/>
    <w:rsid w:val="00E450C2"/>
    <w:rsid w:val="00E76C8C"/>
    <w:rsid w:val="00E9277C"/>
    <w:rsid w:val="00EA1BD0"/>
    <w:rsid w:val="00EB468C"/>
    <w:rsid w:val="00F01990"/>
    <w:rsid w:val="00F821F2"/>
    <w:rsid w:val="00F842A2"/>
    <w:rsid w:val="00F850DA"/>
    <w:rsid w:val="00FA6F9F"/>
    <w:rsid w:val="00FB5826"/>
    <w:rsid w:val="00FC1A2E"/>
    <w:rsid w:val="00FF4EB5"/>
    <w:rsid w:val="00FF5224"/>
    <w:rsid w:val="00FF59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8C687"/>
  <w15:chartTrackingRefBased/>
  <w15:docId w15:val="{AD2D1A49-C997-4740-952A-3A7FF9C64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ABF"/>
    <w:pPr>
      <w:spacing w:after="0" w:line="240" w:lineRule="atLeast"/>
    </w:pPr>
    <w:rPr>
      <w:rFonts w:ascii="Times New Roman" w:eastAsia="Times New Roman" w:hAnsi="Times New Roman" w:cs="Times New Roman"/>
      <w:sz w:val="20"/>
      <w:szCs w:val="24"/>
      <w:lang w:eastAsia="fr-FR"/>
    </w:rPr>
  </w:style>
  <w:style w:type="paragraph" w:styleId="Titre1">
    <w:name w:val="heading 1"/>
    <w:basedOn w:val="Normal"/>
    <w:next w:val="Normal"/>
    <w:link w:val="Titre1Car"/>
    <w:qFormat/>
    <w:rsid w:val="00D86ABF"/>
    <w:pPr>
      <w:keepNext/>
      <w:numPr>
        <w:numId w:val="2"/>
      </w:numPr>
      <w:outlineLvl w:val="0"/>
    </w:pPr>
    <w:rPr>
      <w:i/>
      <w:iCs/>
      <w:sz w:val="12"/>
    </w:rPr>
  </w:style>
  <w:style w:type="paragraph" w:styleId="Titre2">
    <w:name w:val="heading 2"/>
    <w:basedOn w:val="Normal"/>
    <w:next w:val="Normal"/>
    <w:link w:val="Titre2Car"/>
    <w:qFormat/>
    <w:rsid w:val="00585F62"/>
    <w:pPr>
      <w:keepNext/>
      <w:numPr>
        <w:ilvl w:val="1"/>
        <w:numId w:val="22"/>
      </w:numPr>
      <w:spacing w:before="80" w:line="200" w:lineRule="exact"/>
      <w:outlineLvl w:val="1"/>
    </w:pPr>
    <w:rPr>
      <w:i/>
      <w:iCs/>
      <w:color w:val="0D0659"/>
      <w:sz w:val="12"/>
    </w:rPr>
  </w:style>
  <w:style w:type="paragraph" w:styleId="Titre3">
    <w:name w:val="heading 3"/>
    <w:basedOn w:val="Normal"/>
    <w:next w:val="Normal"/>
    <w:link w:val="Titre3Car"/>
    <w:unhideWhenUsed/>
    <w:qFormat/>
    <w:rsid w:val="00D86ABF"/>
    <w:pPr>
      <w:keepNext/>
      <w:keepLines/>
      <w:numPr>
        <w:ilvl w:val="2"/>
        <w:numId w:val="2"/>
      </w:numPr>
      <w:spacing w:before="200"/>
      <w:outlineLvl w:val="2"/>
    </w:pPr>
    <w:rPr>
      <w:rFonts w:asciiTheme="majorHAnsi" w:eastAsiaTheme="majorEastAsia" w:hAnsiTheme="majorHAnsi" w:cstheme="majorBidi"/>
      <w:b/>
      <w:bCs/>
      <w:color w:val="5B9BD5" w:themeColor="accent1"/>
    </w:rPr>
  </w:style>
  <w:style w:type="paragraph" w:styleId="Titre4">
    <w:name w:val="heading 4"/>
    <w:basedOn w:val="Normal"/>
    <w:next w:val="Normal"/>
    <w:link w:val="Titre4Car"/>
    <w:qFormat/>
    <w:rsid w:val="00D86ABF"/>
    <w:pPr>
      <w:keepNext/>
      <w:numPr>
        <w:ilvl w:val="3"/>
        <w:numId w:val="2"/>
      </w:numPr>
      <w:spacing w:before="240" w:after="60" w:line="240" w:lineRule="auto"/>
      <w:outlineLvl w:val="3"/>
    </w:pPr>
    <w:rPr>
      <w:b/>
      <w:bCs/>
      <w:sz w:val="28"/>
      <w:szCs w:val="28"/>
    </w:rPr>
  </w:style>
  <w:style w:type="paragraph" w:styleId="Titre5">
    <w:name w:val="heading 5"/>
    <w:basedOn w:val="Normal"/>
    <w:next w:val="Normal"/>
    <w:link w:val="Titre5Car"/>
    <w:unhideWhenUsed/>
    <w:qFormat/>
    <w:rsid w:val="00585F62"/>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Titre6">
    <w:name w:val="heading 6"/>
    <w:basedOn w:val="Normal"/>
    <w:next w:val="Normal"/>
    <w:link w:val="Titre6Car"/>
    <w:semiHidden/>
    <w:unhideWhenUsed/>
    <w:qFormat/>
    <w:rsid w:val="00D86ABF"/>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Titre7">
    <w:name w:val="heading 7"/>
    <w:basedOn w:val="Normal"/>
    <w:next w:val="Normal"/>
    <w:link w:val="Titre7Car"/>
    <w:unhideWhenUsed/>
    <w:qFormat/>
    <w:rsid w:val="00585F62"/>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585F62"/>
    <w:pPr>
      <w:keepNext/>
      <w:keepLines/>
      <w:numPr>
        <w:ilvl w:val="7"/>
        <w:numId w:val="2"/>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nhideWhenUsed/>
    <w:qFormat/>
    <w:rsid w:val="00585F62"/>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86ABF"/>
    <w:rPr>
      <w:rFonts w:ascii="Times New Roman" w:eastAsia="Times New Roman" w:hAnsi="Times New Roman" w:cs="Times New Roman"/>
      <w:i/>
      <w:iCs/>
      <w:sz w:val="12"/>
      <w:szCs w:val="24"/>
      <w:lang w:eastAsia="fr-FR"/>
    </w:rPr>
  </w:style>
  <w:style w:type="character" w:customStyle="1" w:styleId="Titre2Car">
    <w:name w:val="Titre 2 Car"/>
    <w:basedOn w:val="Policepardfaut"/>
    <w:link w:val="Titre2"/>
    <w:rsid w:val="00D86ABF"/>
    <w:rPr>
      <w:rFonts w:ascii="Times New Roman" w:eastAsia="Times New Roman" w:hAnsi="Times New Roman" w:cs="Times New Roman"/>
      <w:i/>
      <w:iCs/>
      <w:color w:val="0D0659"/>
      <w:sz w:val="12"/>
      <w:szCs w:val="24"/>
      <w:lang w:eastAsia="fr-FR"/>
    </w:rPr>
  </w:style>
  <w:style w:type="character" w:customStyle="1" w:styleId="Titre3Car">
    <w:name w:val="Titre 3 Car"/>
    <w:basedOn w:val="Policepardfaut"/>
    <w:link w:val="Titre3"/>
    <w:rsid w:val="00D86ABF"/>
    <w:rPr>
      <w:rFonts w:asciiTheme="majorHAnsi" w:eastAsiaTheme="majorEastAsia" w:hAnsiTheme="majorHAnsi" w:cstheme="majorBidi"/>
      <w:b/>
      <w:bCs/>
      <w:color w:val="5B9BD5" w:themeColor="accent1"/>
      <w:sz w:val="20"/>
      <w:szCs w:val="24"/>
      <w:lang w:eastAsia="fr-FR"/>
    </w:rPr>
  </w:style>
  <w:style w:type="character" w:customStyle="1" w:styleId="Titre4Car">
    <w:name w:val="Titre 4 Car"/>
    <w:basedOn w:val="Policepardfaut"/>
    <w:link w:val="Titre4"/>
    <w:rsid w:val="00D86ABF"/>
    <w:rPr>
      <w:rFonts w:ascii="Times New Roman" w:eastAsia="Times New Roman" w:hAnsi="Times New Roman" w:cs="Times New Roman"/>
      <w:b/>
      <w:bCs/>
      <w:sz w:val="28"/>
      <w:szCs w:val="28"/>
      <w:lang w:eastAsia="fr-FR"/>
    </w:rPr>
  </w:style>
  <w:style w:type="character" w:customStyle="1" w:styleId="Titre5Car">
    <w:name w:val="Titre 5 Car"/>
    <w:basedOn w:val="Policepardfaut"/>
    <w:link w:val="Titre5"/>
    <w:rsid w:val="00D86ABF"/>
    <w:rPr>
      <w:rFonts w:asciiTheme="majorHAnsi" w:eastAsiaTheme="majorEastAsia" w:hAnsiTheme="majorHAnsi" w:cstheme="majorBidi"/>
      <w:color w:val="1F4D78" w:themeColor="accent1" w:themeShade="7F"/>
      <w:sz w:val="20"/>
      <w:szCs w:val="24"/>
      <w:lang w:eastAsia="fr-FR"/>
    </w:rPr>
  </w:style>
  <w:style w:type="character" w:customStyle="1" w:styleId="Titre6Car">
    <w:name w:val="Titre 6 Car"/>
    <w:basedOn w:val="Policepardfaut"/>
    <w:link w:val="Titre6"/>
    <w:semiHidden/>
    <w:rsid w:val="00D86ABF"/>
    <w:rPr>
      <w:rFonts w:asciiTheme="majorHAnsi" w:eastAsiaTheme="majorEastAsia" w:hAnsiTheme="majorHAnsi" w:cstheme="majorBidi"/>
      <w:i/>
      <w:iCs/>
      <w:color w:val="1F4D78" w:themeColor="accent1" w:themeShade="7F"/>
      <w:sz w:val="20"/>
      <w:szCs w:val="24"/>
      <w:lang w:eastAsia="fr-FR"/>
    </w:rPr>
  </w:style>
  <w:style w:type="character" w:customStyle="1" w:styleId="Titre7Car">
    <w:name w:val="Titre 7 Car"/>
    <w:basedOn w:val="Policepardfaut"/>
    <w:link w:val="Titre7"/>
    <w:rsid w:val="00D86ABF"/>
    <w:rPr>
      <w:rFonts w:asciiTheme="majorHAnsi" w:eastAsiaTheme="majorEastAsia" w:hAnsiTheme="majorHAnsi" w:cstheme="majorBidi"/>
      <w:i/>
      <w:iCs/>
      <w:color w:val="404040" w:themeColor="text1" w:themeTint="BF"/>
      <w:sz w:val="20"/>
      <w:szCs w:val="24"/>
      <w:lang w:eastAsia="fr-FR"/>
    </w:rPr>
  </w:style>
  <w:style w:type="character" w:customStyle="1" w:styleId="Titre8Car">
    <w:name w:val="Titre 8 Car"/>
    <w:basedOn w:val="Policepardfaut"/>
    <w:link w:val="Titre8"/>
    <w:rsid w:val="00D86ABF"/>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rsid w:val="00D86ABF"/>
    <w:rPr>
      <w:rFonts w:asciiTheme="majorHAnsi" w:eastAsiaTheme="majorEastAsia" w:hAnsiTheme="majorHAnsi" w:cstheme="majorBidi"/>
      <w:i/>
      <w:iCs/>
      <w:color w:val="404040" w:themeColor="text1" w:themeTint="BF"/>
      <w:sz w:val="20"/>
      <w:szCs w:val="20"/>
      <w:lang w:eastAsia="fr-FR"/>
    </w:rPr>
  </w:style>
  <w:style w:type="paragraph" w:styleId="Pieddepage">
    <w:name w:val="footer"/>
    <w:basedOn w:val="Normal"/>
    <w:link w:val="PieddepageCar"/>
    <w:uiPriority w:val="99"/>
    <w:rsid w:val="00D86ABF"/>
    <w:pPr>
      <w:tabs>
        <w:tab w:val="center" w:pos="4536"/>
        <w:tab w:val="right" w:pos="9072"/>
      </w:tabs>
    </w:pPr>
  </w:style>
  <w:style w:type="character" w:customStyle="1" w:styleId="PieddepageCar">
    <w:name w:val="Pied de page Car"/>
    <w:basedOn w:val="Policepardfaut"/>
    <w:link w:val="Pieddepage"/>
    <w:uiPriority w:val="99"/>
    <w:rsid w:val="00D86ABF"/>
    <w:rPr>
      <w:rFonts w:ascii="Times New Roman" w:eastAsia="Times New Roman" w:hAnsi="Times New Roman" w:cs="Times New Roman"/>
      <w:sz w:val="20"/>
      <w:szCs w:val="24"/>
      <w:lang w:eastAsia="fr-FR"/>
    </w:rPr>
  </w:style>
  <w:style w:type="paragraph" w:styleId="Notedebasdepage">
    <w:name w:val="footnote text"/>
    <w:aliases w:val="FOOTNOTES,fn,single space,pied de page,12pt,Note de bas de page Car1,Note de bas de page Car Car,Note de bas de page Car1 Car Car,Note de bas de page Car Car Car Car,fn Car Car Car Car,Footnote Text Char Char Char,ft,ADB,ft1,fn Char1"/>
    <w:basedOn w:val="Normal"/>
    <w:link w:val="NotedebasdepageCar"/>
    <w:uiPriority w:val="99"/>
    <w:qFormat/>
    <w:rsid w:val="00D86ABF"/>
    <w:pPr>
      <w:spacing w:after="120" w:line="240" w:lineRule="auto"/>
      <w:ind w:left="227"/>
      <w:jc w:val="both"/>
    </w:pPr>
    <w:rPr>
      <w:i/>
      <w:sz w:val="18"/>
      <w:szCs w:val="20"/>
    </w:rPr>
  </w:style>
  <w:style w:type="character" w:customStyle="1" w:styleId="NotedebasdepageCar">
    <w:name w:val="Note de bas de page Car"/>
    <w:aliases w:val="FOOTNOTES Car,fn Car,single space Car,pied de page Car,12pt Car,Note de bas de page Car1 Car,Note de bas de page Car Car Car,Note de bas de page Car1 Car Car Car,Note de bas de page Car Car Car Car Car,fn Car Car Car Car Car"/>
    <w:basedOn w:val="Policepardfaut"/>
    <w:link w:val="Notedebasdepage"/>
    <w:uiPriority w:val="99"/>
    <w:qFormat/>
    <w:rsid w:val="00D86ABF"/>
    <w:rPr>
      <w:rFonts w:ascii="Times New Roman" w:eastAsia="Times New Roman" w:hAnsi="Times New Roman" w:cs="Times New Roman"/>
      <w:i/>
      <w:sz w:val="18"/>
      <w:szCs w:val="20"/>
      <w:lang w:eastAsia="fr-FR"/>
    </w:rPr>
  </w:style>
  <w:style w:type="character" w:styleId="Appelnotedebasdep">
    <w:name w:val="footnote reference"/>
    <w:aliases w:val="ftref,16 Point,Superscript 6 Point,(NECG) Footnote Reference,Footnote number,BVI fnr,Comment Text Char1,Footnote Reference1,Car Car Char Car Char Car Car Char Car Char Char,SUPERS,Footnote,Error-Fußnotenzeichen5,Ref,FO,S,BVI fn"/>
    <w:basedOn w:val="Policepardfaut"/>
    <w:link w:val="BVIfnrCarCar"/>
    <w:qFormat/>
    <w:rsid w:val="00D86ABF"/>
  </w:style>
  <w:style w:type="character" w:styleId="lev">
    <w:name w:val="Strong"/>
    <w:basedOn w:val="Policepardfaut"/>
    <w:uiPriority w:val="22"/>
    <w:qFormat/>
    <w:rsid w:val="00D86ABF"/>
    <w:rPr>
      <w:b/>
      <w:bCs/>
    </w:rPr>
  </w:style>
  <w:style w:type="paragraph" w:styleId="Paragraphedeliste">
    <w:name w:val="List Paragraph"/>
    <w:aliases w:val="List Paragraph - Dani,List Paragraph 1 - Dani,List Paragraph1,List Paragraph (numbered (a)),Bullets,Numbered List Paragraph,List_Paragraph,Multilevel para_II,Numbered list,Dot pt,F5 List Paragraph,No Spacing1,Indicator Text,Liste 1"/>
    <w:basedOn w:val="Normal"/>
    <w:link w:val="ParagraphedelisteCar"/>
    <w:uiPriority w:val="34"/>
    <w:qFormat/>
    <w:rsid w:val="00D86ABF"/>
    <w:pPr>
      <w:spacing w:after="200" w:line="276" w:lineRule="auto"/>
      <w:ind w:left="720"/>
      <w:contextualSpacing/>
    </w:pPr>
    <w:rPr>
      <w:rFonts w:ascii="Calibri" w:eastAsia="Calibri" w:hAnsi="Calibri"/>
      <w:sz w:val="22"/>
      <w:szCs w:val="22"/>
      <w:lang w:eastAsia="en-US"/>
    </w:rPr>
  </w:style>
  <w:style w:type="paragraph" w:styleId="Liste4">
    <w:name w:val="List 4"/>
    <w:basedOn w:val="Normal"/>
    <w:rsid w:val="00D86ABF"/>
    <w:pPr>
      <w:spacing w:after="120" w:line="240" w:lineRule="auto"/>
      <w:ind w:left="357"/>
      <w:jc w:val="both"/>
    </w:pPr>
    <w:rPr>
      <w:i/>
      <w:sz w:val="24"/>
      <w:szCs w:val="20"/>
    </w:rPr>
  </w:style>
  <w:style w:type="character" w:customStyle="1" w:styleId="ParagraphedelisteCar">
    <w:name w:val="Paragraphe de liste Car"/>
    <w:aliases w:val="List Paragraph - Dani Car,List Paragraph 1 - Dani Car,List Paragraph1 Car,List Paragraph (numbered (a)) Car,Bullets Car,Numbered List Paragraph Car,List_Paragraph Car,Multilevel para_II Car,Numbered list Car,Dot pt Car"/>
    <w:basedOn w:val="Policepardfaut"/>
    <w:link w:val="Paragraphedeliste"/>
    <w:uiPriority w:val="34"/>
    <w:qFormat/>
    <w:locked/>
    <w:rsid w:val="00D86ABF"/>
    <w:rPr>
      <w:rFonts w:ascii="Calibri" w:eastAsia="Calibri" w:hAnsi="Calibri" w:cs="Times New Roman"/>
    </w:rPr>
  </w:style>
  <w:style w:type="paragraph" w:customStyle="1" w:styleId="BVIfnrCarCar">
    <w:name w:val="BVI fnr Car Car"/>
    <w:aliases w:val="BVI fnr Car Car Car Car,BVI fnr Car Car Car Car Char Car,BVI fnr Char,BVI fnr Car Car Char,BVI fnr Car Char"/>
    <w:basedOn w:val="Normal"/>
    <w:link w:val="Appelnotedebasdep"/>
    <w:uiPriority w:val="99"/>
    <w:rsid w:val="00D86ABF"/>
    <w:pPr>
      <w:spacing w:after="160" w:line="240" w:lineRule="exact"/>
    </w:pPr>
    <w:rPr>
      <w:rFonts w:asciiTheme="minorHAnsi" w:eastAsiaTheme="minorHAnsi" w:hAnsiTheme="minorHAnsi" w:cstheme="minorBidi"/>
      <w:sz w:val="22"/>
      <w:szCs w:val="22"/>
      <w:lang w:eastAsia="en-US"/>
    </w:rPr>
  </w:style>
  <w:style w:type="paragraph" w:customStyle="1" w:styleId="Doctxt">
    <w:name w:val="Doctxt"/>
    <w:rsid w:val="00D86ABF"/>
    <w:pPr>
      <w:spacing w:before="200" w:after="0" w:line="260" w:lineRule="atLeast"/>
      <w:jc w:val="both"/>
    </w:pPr>
    <w:rPr>
      <w:rFonts w:ascii="Times New Roman Bold" w:eastAsia="Calibri" w:hAnsi="Times New Roman Bold" w:cs="Times New Roman"/>
    </w:rPr>
  </w:style>
  <w:style w:type="table" w:styleId="Grilledutableau">
    <w:name w:val="Table Grid"/>
    <w:basedOn w:val="TableauNormal"/>
    <w:uiPriority w:val="59"/>
    <w:rsid w:val="00D86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3-OFT">
    <w:name w:val="Titre 3 - OFT"/>
    <w:basedOn w:val="Normal"/>
    <w:next w:val="Normal"/>
    <w:qFormat/>
    <w:rsid w:val="00D86ABF"/>
    <w:pPr>
      <w:keepNext/>
      <w:keepLines/>
      <w:widowControl w:val="0"/>
      <w:numPr>
        <w:numId w:val="9"/>
      </w:numPr>
      <w:suppressAutoHyphens/>
      <w:spacing w:before="180" w:after="180" w:line="220" w:lineRule="atLeast"/>
      <w:jc w:val="both"/>
      <w:outlineLvl w:val="2"/>
    </w:pPr>
    <w:rPr>
      <w:rFonts w:eastAsia="Arial Unicode MS" w:cs="Calibri Light"/>
      <w:color w:val="44546A" w:themeColor="text2"/>
      <w:kern w:val="18"/>
      <w:sz w:val="22"/>
      <w:szCs w:val="20"/>
      <w:lang w:eastAsia="en-US"/>
    </w:rPr>
  </w:style>
  <w:style w:type="paragraph" w:customStyle="1" w:styleId="BVIfnrCarCarCarCarChar">
    <w:name w:val="BVI fnr Car Car Car Car Char"/>
    <w:basedOn w:val="Normal"/>
    <w:uiPriority w:val="99"/>
    <w:rsid w:val="00C92586"/>
    <w:pPr>
      <w:spacing w:after="160" w:line="240" w:lineRule="exact"/>
    </w:pPr>
    <w:rPr>
      <w:rFonts w:asciiTheme="minorHAnsi" w:eastAsiaTheme="minorHAnsi" w:hAnsiTheme="minorHAnsi" w:cstheme="minorBidi"/>
      <w:sz w:val="22"/>
      <w:szCs w:val="22"/>
      <w:lang w:eastAsia="en-US"/>
    </w:rPr>
  </w:style>
  <w:style w:type="paragraph" w:customStyle="1" w:styleId="Default">
    <w:name w:val="Default"/>
    <w:basedOn w:val="Normal"/>
    <w:rsid w:val="00913249"/>
    <w:pPr>
      <w:autoSpaceDE w:val="0"/>
      <w:autoSpaceDN w:val="0"/>
      <w:spacing w:line="240" w:lineRule="auto"/>
    </w:pPr>
    <w:rPr>
      <w:rFonts w:ascii="Calibri" w:eastAsiaTheme="minorHAnsi" w:hAnsi="Calibri" w:cs="Calibri"/>
      <w:color w:val="000000"/>
      <w:sz w:val="24"/>
    </w:rPr>
  </w:style>
  <w:style w:type="character" w:styleId="Marquedecommentaire">
    <w:name w:val="annotation reference"/>
    <w:basedOn w:val="Policepardfaut"/>
    <w:unhideWhenUsed/>
    <w:rsid w:val="00CC34F7"/>
    <w:rPr>
      <w:sz w:val="16"/>
      <w:szCs w:val="16"/>
    </w:rPr>
  </w:style>
  <w:style w:type="paragraph" w:styleId="Commentaire">
    <w:name w:val="annotation text"/>
    <w:basedOn w:val="Normal"/>
    <w:link w:val="CommentaireCar"/>
    <w:unhideWhenUsed/>
    <w:rsid w:val="00CC34F7"/>
    <w:pPr>
      <w:spacing w:line="240" w:lineRule="auto"/>
    </w:pPr>
    <w:rPr>
      <w:szCs w:val="20"/>
    </w:rPr>
  </w:style>
  <w:style w:type="character" w:customStyle="1" w:styleId="CommentaireCar">
    <w:name w:val="Commentaire Car"/>
    <w:basedOn w:val="Policepardfaut"/>
    <w:link w:val="Commentaire"/>
    <w:uiPriority w:val="99"/>
    <w:semiHidden/>
    <w:rsid w:val="00CC34F7"/>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CC34F7"/>
    <w:rPr>
      <w:b/>
      <w:bCs/>
    </w:rPr>
  </w:style>
  <w:style w:type="character" w:customStyle="1" w:styleId="ObjetducommentaireCar">
    <w:name w:val="Objet du commentaire Car"/>
    <w:basedOn w:val="CommentaireCar"/>
    <w:link w:val="Objetducommentaire"/>
    <w:uiPriority w:val="99"/>
    <w:semiHidden/>
    <w:rsid w:val="00CC34F7"/>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CC34F7"/>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C34F7"/>
    <w:rPr>
      <w:rFonts w:ascii="Segoe UI" w:eastAsia="Times New Roman" w:hAnsi="Segoe UI" w:cs="Segoe UI"/>
      <w:sz w:val="18"/>
      <w:szCs w:val="18"/>
      <w:lang w:eastAsia="fr-FR"/>
    </w:rPr>
  </w:style>
  <w:style w:type="character" w:styleId="Accentuation">
    <w:name w:val="Emphasis"/>
    <w:basedOn w:val="Policepardfaut"/>
    <w:qFormat/>
    <w:rsid w:val="00C203F9"/>
    <w:rPr>
      <w:i/>
      <w:iCs/>
    </w:rPr>
  </w:style>
  <w:style w:type="character" w:customStyle="1" w:styleId="NormalWebCar">
    <w:name w:val="Normal (Web) Car"/>
    <w:aliases w:val="Normal (Web) Car Car Car Car Car Car Car Car,Normal (Web) Car Car Car Car Car Car Car1"/>
    <w:link w:val="NormalWeb"/>
    <w:uiPriority w:val="99"/>
    <w:semiHidden/>
    <w:locked/>
    <w:rsid w:val="009C155D"/>
    <w:rPr>
      <w:sz w:val="24"/>
      <w:szCs w:val="24"/>
    </w:rPr>
  </w:style>
  <w:style w:type="paragraph" w:styleId="NormalWeb">
    <w:name w:val="Normal (Web)"/>
    <w:aliases w:val="Normal (Web) Car Car Car Car Car Car Car,Normal (Web) Car Car Car Car Car Car"/>
    <w:basedOn w:val="Normal"/>
    <w:link w:val="NormalWebCar"/>
    <w:uiPriority w:val="99"/>
    <w:semiHidden/>
    <w:unhideWhenUsed/>
    <w:rsid w:val="009C155D"/>
    <w:pPr>
      <w:spacing w:before="100" w:beforeAutospacing="1" w:after="100" w:afterAutospacing="1" w:line="240" w:lineRule="auto"/>
    </w:pPr>
    <w:rPr>
      <w:rFonts w:asciiTheme="minorHAnsi" w:eastAsiaTheme="minorHAnsi" w:hAnsiTheme="minorHAnsi" w:cstheme="minorBidi"/>
      <w:sz w:val="24"/>
      <w:lang w:eastAsia="en-US"/>
    </w:rPr>
  </w:style>
  <w:style w:type="paragraph" w:customStyle="1" w:styleId="RefCharCarCharCarCharCar">
    <w:name w:val="Ref Char Car Char Car Char Car"/>
    <w:aliases w:val="de nota al pie Char Car Char Car Char Car,16 Point Char Car Char Car Char Car,Superscript 6 Point Char Car Char Car Char Car,ftref Char Car Char Car Char Car,BVI fnr Char Car Char Car Char Car"/>
    <w:basedOn w:val="Normal"/>
    <w:uiPriority w:val="99"/>
    <w:rsid w:val="00242298"/>
    <w:pPr>
      <w:spacing w:after="160" w:line="240" w:lineRule="exact"/>
    </w:pPr>
    <w:rPr>
      <w:rFonts w:asciiTheme="minorHAnsi" w:eastAsiaTheme="minorHAnsi" w:hAnsiTheme="minorHAnsi" w:cstheme="minorBidi"/>
      <w:sz w:val="22"/>
      <w:szCs w:val="22"/>
      <w:vertAlign w:val="superscript"/>
      <w:lang w:val="en-US" w:eastAsia="en-US"/>
    </w:rPr>
  </w:style>
  <w:style w:type="paragraph" w:styleId="Notedefin">
    <w:name w:val="endnote text"/>
    <w:basedOn w:val="Normal"/>
    <w:link w:val="NotedefinCar"/>
    <w:uiPriority w:val="99"/>
    <w:semiHidden/>
    <w:unhideWhenUsed/>
    <w:rsid w:val="00585F62"/>
    <w:pPr>
      <w:spacing w:line="240" w:lineRule="auto"/>
    </w:pPr>
    <w:rPr>
      <w:szCs w:val="20"/>
    </w:rPr>
  </w:style>
  <w:style w:type="character" w:customStyle="1" w:styleId="NotedefinCar">
    <w:name w:val="Note de fin Car"/>
    <w:basedOn w:val="Policepardfaut"/>
    <w:link w:val="Notedefin"/>
    <w:uiPriority w:val="99"/>
    <w:semiHidden/>
    <w:rsid w:val="00585F62"/>
    <w:rPr>
      <w:rFonts w:ascii="Times New Roman" w:eastAsia="Times New Roman" w:hAnsi="Times New Roman" w:cs="Times New Roman"/>
      <w:sz w:val="20"/>
      <w:szCs w:val="20"/>
      <w:lang w:eastAsia="fr-FR"/>
    </w:rPr>
  </w:style>
  <w:style w:type="character" w:styleId="Appeldenotedefin">
    <w:name w:val="endnote reference"/>
    <w:basedOn w:val="Policepardfaut"/>
    <w:uiPriority w:val="99"/>
    <w:semiHidden/>
    <w:unhideWhenUsed/>
    <w:rsid w:val="00585F62"/>
    <w:rPr>
      <w:vertAlign w:val="superscript"/>
    </w:rPr>
  </w:style>
  <w:style w:type="paragraph" w:styleId="En-tte">
    <w:name w:val="header"/>
    <w:basedOn w:val="Normal"/>
    <w:link w:val="En-tteCar"/>
    <w:uiPriority w:val="99"/>
    <w:unhideWhenUsed/>
    <w:rsid w:val="00585F62"/>
    <w:pPr>
      <w:tabs>
        <w:tab w:val="center" w:pos="4536"/>
        <w:tab w:val="right" w:pos="9072"/>
      </w:tabs>
      <w:spacing w:line="240" w:lineRule="auto"/>
    </w:pPr>
  </w:style>
  <w:style w:type="character" w:customStyle="1" w:styleId="En-tteCar">
    <w:name w:val="En-tête Car"/>
    <w:basedOn w:val="Policepardfaut"/>
    <w:link w:val="En-tte"/>
    <w:uiPriority w:val="99"/>
    <w:rsid w:val="00585F62"/>
    <w:rPr>
      <w:rFonts w:ascii="Times New Roman" w:eastAsia="Times New Roman" w:hAnsi="Times New Roman" w:cs="Times New Roman"/>
      <w:sz w:val="20"/>
      <w:szCs w:val="24"/>
      <w:lang w:eastAsia="fr-FR"/>
    </w:rPr>
  </w:style>
  <w:style w:type="paragraph" w:styleId="Rvision">
    <w:name w:val="Revision"/>
    <w:hidden/>
    <w:uiPriority w:val="99"/>
    <w:semiHidden/>
    <w:rsid w:val="00585F62"/>
    <w:pPr>
      <w:spacing w:after="0" w:line="240" w:lineRule="auto"/>
    </w:pPr>
    <w:rPr>
      <w:rFonts w:ascii="Times New Roman" w:eastAsia="Times New Roman" w:hAnsi="Times New Roman" w:cs="Times New Roman"/>
      <w:sz w:val="20"/>
      <w:szCs w:val="24"/>
      <w:lang w:eastAsia="fr-FR"/>
    </w:rPr>
  </w:style>
  <w:style w:type="paragraph" w:customStyle="1" w:styleId="Char2">
    <w:name w:val="Char2"/>
    <w:basedOn w:val="Normal"/>
    <w:uiPriority w:val="99"/>
    <w:rsid w:val="00F821F2"/>
    <w:pPr>
      <w:spacing w:after="160" w:line="240" w:lineRule="exact"/>
      <w:jc w:val="both"/>
    </w:pPr>
    <w:rPr>
      <w:rFonts w:asciiTheme="minorHAnsi" w:eastAsiaTheme="minorHAnsi" w:hAnsiTheme="minorHAnsi" w:cstheme="minorBidi"/>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111">
      <w:bodyDiv w:val="1"/>
      <w:marLeft w:val="0"/>
      <w:marRight w:val="0"/>
      <w:marTop w:val="0"/>
      <w:marBottom w:val="0"/>
      <w:divBdr>
        <w:top w:val="none" w:sz="0" w:space="0" w:color="auto"/>
        <w:left w:val="none" w:sz="0" w:space="0" w:color="auto"/>
        <w:bottom w:val="none" w:sz="0" w:space="0" w:color="auto"/>
        <w:right w:val="none" w:sz="0" w:space="0" w:color="auto"/>
      </w:divBdr>
    </w:div>
    <w:div w:id="150146727">
      <w:bodyDiv w:val="1"/>
      <w:marLeft w:val="0"/>
      <w:marRight w:val="0"/>
      <w:marTop w:val="0"/>
      <w:marBottom w:val="0"/>
      <w:divBdr>
        <w:top w:val="none" w:sz="0" w:space="0" w:color="auto"/>
        <w:left w:val="none" w:sz="0" w:space="0" w:color="auto"/>
        <w:bottom w:val="none" w:sz="0" w:space="0" w:color="auto"/>
        <w:right w:val="none" w:sz="0" w:space="0" w:color="auto"/>
      </w:divBdr>
    </w:div>
    <w:div w:id="494228474">
      <w:bodyDiv w:val="1"/>
      <w:marLeft w:val="0"/>
      <w:marRight w:val="0"/>
      <w:marTop w:val="0"/>
      <w:marBottom w:val="0"/>
      <w:divBdr>
        <w:top w:val="none" w:sz="0" w:space="0" w:color="auto"/>
        <w:left w:val="none" w:sz="0" w:space="0" w:color="auto"/>
        <w:bottom w:val="none" w:sz="0" w:space="0" w:color="auto"/>
        <w:right w:val="none" w:sz="0" w:space="0" w:color="auto"/>
      </w:divBdr>
    </w:div>
    <w:div w:id="970591409">
      <w:bodyDiv w:val="1"/>
      <w:marLeft w:val="0"/>
      <w:marRight w:val="0"/>
      <w:marTop w:val="0"/>
      <w:marBottom w:val="0"/>
      <w:divBdr>
        <w:top w:val="none" w:sz="0" w:space="0" w:color="auto"/>
        <w:left w:val="none" w:sz="0" w:space="0" w:color="auto"/>
        <w:bottom w:val="none" w:sz="0" w:space="0" w:color="auto"/>
        <w:right w:val="none" w:sz="0" w:space="0" w:color="auto"/>
      </w:divBdr>
    </w:div>
    <w:div w:id="1079254617">
      <w:bodyDiv w:val="1"/>
      <w:marLeft w:val="0"/>
      <w:marRight w:val="0"/>
      <w:marTop w:val="0"/>
      <w:marBottom w:val="0"/>
      <w:divBdr>
        <w:top w:val="none" w:sz="0" w:space="0" w:color="auto"/>
        <w:left w:val="none" w:sz="0" w:space="0" w:color="auto"/>
        <w:bottom w:val="none" w:sz="0" w:space="0" w:color="auto"/>
        <w:right w:val="none" w:sz="0" w:space="0" w:color="auto"/>
      </w:divBdr>
    </w:div>
    <w:div w:id="1083722152">
      <w:bodyDiv w:val="1"/>
      <w:marLeft w:val="0"/>
      <w:marRight w:val="0"/>
      <w:marTop w:val="0"/>
      <w:marBottom w:val="0"/>
      <w:divBdr>
        <w:top w:val="none" w:sz="0" w:space="0" w:color="auto"/>
        <w:left w:val="none" w:sz="0" w:space="0" w:color="auto"/>
        <w:bottom w:val="none" w:sz="0" w:space="0" w:color="auto"/>
        <w:right w:val="none" w:sz="0" w:space="0" w:color="auto"/>
      </w:divBdr>
    </w:div>
    <w:div w:id="1167281865">
      <w:bodyDiv w:val="1"/>
      <w:marLeft w:val="0"/>
      <w:marRight w:val="0"/>
      <w:marTop w:val="0"/>
      <w:marBottom w:val="0"/>
      <w:divBdr>
        <w:top w:val="none" w:sz="0" w:space="0" w:color="auto"/>
        <w:left w:val="none" w:sz="0" w:space="0" w:color="auto"/>
        <w:bottom w:val="none" w:sz="0" w:space="0" w:color="auto"/>
        <w:right w:val="none" w:sz="0" w:space="0" w:color="auto"/>
      </w:divBdr>
    </w:div>
    <w:div w:id="1310745330">
      <w:bodyDiv w:val="1"/>
      <w:marLeft w:val="0"/>
      <w:marRight w:val="0"/>
      <w:marTop w:val="0"/>
      <w:marBottom w:val="0"/>
      <w:divBdr>
        <w:top w:val="none" w:sz="0" w:space="0" w:color="auto"/>
        <w:left w:val="none" w:sz="0" w:space="0" w:color="auto"/>
        <w:bottom w:val="none" w:sz="0" w:space="0" w:color="auto"/>
        <w:right w:val="none" w:sz="0" w:space="0" w:color="auto"/>
      </w:divBdr>
    </w:div>
    <w:div w:id="1544322985">
      <w:bodyDiv w:val="1"/>
      <w:marLeft w:val="0"/>
      <w:marRight w:val="0"/>
      <w:marTop w:val="0"/>
      <w:marBottom w:val="0"/>
      <w:divBdr>
        <w:top w:val="none" w:sz="0" w:space="0" w:color="auto"/>
        <w:left w:val="none" w:sz="0" w:space="0" w:color="auto"/>
        <w:bottom w:val="none" w:sz="0" w:space="0" w:color="auto"/>
        <w:right w:val="none" w:sz="0" w:space="0" w:color="auto"/>
      </w:divBdr>
    </w:div>
    <w:div w:id="1708070272">
      <w:bodyDiv w:val="1"/>
      <w:marLeft w:val="0"/>
      <w:marRight w:val="0"/>
      <w:marTop w:val="0"/>
      <w:marBottom w:val="0"/>
      <w:divBdr>
        <w:top w:val="none" w:sz="0" w:space="0" w:color="auto"/>
        <w:left w:val="none" w:sz="0" w:space="0" w:color="auto"/>
        <w:bottom w:val="none" w:sz="0" w:space="0" w:color="auto"/>
        <w:right w:val="none" w:sz="0" w:space="0" w:color="auto"/>
      </w:divBdr>
    </w:div>
    <w:div w:id="1797530852">
      <w:bodyDiv w:val="1"/>
      <w:marLeft w:val="0"/>
      <w:marRight w:val="0"/>
      <w:marTop w:val="0"/>
      <w:marBottom w:val="0"/>
      <w:divBdr>
        <w:top w:val="none" w:sz="0" w:space="0" w:color="auto"/>
        <w:left w:val="none" w:sz="0" w:space="0" w:color="auto"/>
        <w:bottom w:val="none" w:sz="0" w:space="0" w:color="auto"/>
        <w:right w:val="none" w:sz="0" w:space="0" w:color="auto"/>
      </w:divBdr>
    </w:div>
    <w:div w:id="1979530975">
      <w:bodyDiv w:val="1"/>
      <w:marLeft w:val="0"/>
      <w:marRight w:val="0"/>
      <w:marTop w:val="0"/>
      <w:marBottom w:val="0"/>
      <w:divBdr>
        <w:top w:val="none" w:sz="0" w:space="0" w:color="auto"/>
        <w:left w:val="none" w:sz="0" w:space="0" w:color="auto"/>
        <w:bottom w:val="none" w:sz="0" w:space="0" w:color="auto"/>
        <w:right w:val="none" w:sz="0" w:space="0" w:color="auto"/>
      </w:divBdr>
    </w:div>
    <w:div w:id="206387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nstats.un.org/sdgs/indicators/databas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stats.un.org/sdgs/indicators/databas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nstats.un.org/sdgs/dataportal/countryprofiles/MD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5C1F2-A4B2-46A0-BBE4-6C1910E7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15</Pages>
  <Words>7352</Words>
  <Characters>40442</Characters>
  <Application>Microsoft Office Word</Application>
  <DocSecurity>0</DocSecurity>
  <Lines>337</Lines>
  <Paragraphs>95</Paragraphs>
  <ScaleCrop>false</ScaleCrop>
  <HeadingPairs>
    <vt:vector size="2" baseType="variant">
      <vt:variant>
        <vt:lpstr>Titre</vt:lpstr>
      </vt:variant>
      <vt:variant>
        <vt:i4>1</vt:i4>
      </vt:variant>
    </vt:vector>
  </HeadingPairs>
  <TitlesOfParts>
    <vt:vector size="1" baseType="lpstr">
      <vt:lpstr/>
    </vt:vector>
  </TitlesOfParts>
  <Company>AFD</Company>
  <LinksUpToDate>false</LinksUpToDate>
  <CharactersWithSpaces>47699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MARTINENQ DUPLESSIS Audrey</dc:creator>
  <cp:keywords/>
  <dc:description/>
  <cp:lastModifiedBy>LIEGEOIS Lauriane</cp:lastModifiedBy>
  <cp:revision>3</cp:revision>
  <cp:lastPrinted>2023-01-12T09:27:00Z</cp:lastPrinted>
  <dcterms:created xsi:type="dcterms:W3CDTF">2026-03-11T16:02:00Z</dcterms:created>
  <dcterms:modified xsi:type="dcterms:W3CDTF">2026-03-23T08:44:00Z</dcterms:modified>
</cp:coreProperties>
</file>